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C2D2B">
      <w:pPr>
        <w:pStyle w:val="2"/>
        <w:rPr>
          <w:rFonts w:hint="default"/>
          <w:lang w:val="en-US" w:eastAsia="zh-CN"/>
        </w:rPr>
      </w:pPr>
      <w:bookmarkStart w:id="0" w:name="_GoBack"/>
      <w:bookmarkEnd w:id="0"/>
    </w:p>
    <w:p w14:paraId="277005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四川省科技创新政策包</w:t>
      </w:r>
      <w:r>
        <w:rPr>
          <w:rFonts w:hint="eastAsia" w:ascii="Times New Roman" w:hAnsi="Times New Roman" w:eastAsia="方正小标宋_GBK" w:cs="Times New Roman"/>
          <w:color w:val="auto"/>
          <w:sz w:val="44"/>
          <w:szCs w:val="44"/>
          <w:lang w:val="en-US" w:eastAsia="zh-CN"/>
        </w:rPr>
        <w:t>（2026年6月版）</w:t>
      </w:r>
    </w:p>
    <w:p w14:paraId="1B7CF1A6">
      <w:pPr>
        <w:pStyle w:val="2"/>
        <w:rPr>
          <w:rFonts w:hint="eastAsia"/>
          <w:lang w:val="en-US" w:eastAsia="zh-CN"/>
        </w:rPr>
      </w:pPr>
    </w:p>
    <w:tbl>
      <w:tblPr>
        <w:tblStyle w:val="9"/>
        <w:tblW w:w="15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814"/>
        <w:gridCol w:w="4390"/>
        <w:gridCol w:w="2527"/>
        <w:gridCol w:w="2734"/>
        <w:gridCol w:w="1645"/>
        <w:gridCol w:w="1248"/>
      </w:tblGrid>
      <w:tr w14:paraId="7B1D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blHeader/>
          <w:jc w:val="center"/>
        </w:trPr>
        <w:tc>
          <w:tcPr>
            <w:tcW w:w="798" w:type="dxa"/>
            <w:vAlign w:val="center"/>
          </w:tcPr>
          <w:p w14:paraId="6DB9BC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4"/>
                <w:szCs w:val="24"/>
                <w:u w:val="none" w:color="auto"/>
                <w:vertAlign w:val="baseline"/>
                <w:lang w:val="en-US" w:eastAsia="zh-CN"/>
              </w:rPr>
            </w:pPr>
            <w:r>
              <w:rPr>
                <w:rFonts w:hint="default" w:ascii="Times New Roman" w:hAnsi="Times New Roman" w:eastAsia="黑体" w:cs="Times New Roman"/>
                <w:b w:val="0"/>
                <w:bCs w:val="0"/>
                <w:color w:val="auto"/>
                <w:sz w:val="24"/>
                <w:szCs w:val="24"/>
                <w:u w:val="none" w:color="auto"/>
                <w:vertAlign w:val="baseline"/>
                <w:lang w:val="en-US" w:eastAsia="zh-CN"/>
              </w:rPr>
              <w:t>序号</w:t>
            </w:r>
          </w:p>
        </w:tc>
        <w:tc>
          <w:tcPr>
            <w:tcW w:w="1814" w:type="dxa"/>
            <w:vAlign w:val="center"/>
          </w:tcPr>
          <w:p w14:paraId="245CAB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4"/>
                <w:szCs w:val="24"/>
                <w:u w:val="none" w:color="auto"/>
                <w:vertAlign w:val="baseline"/>
                <w:lang w:val="en-US" w:eastAsia="zh-CN"/>
              </w:rPr>
            </w:pPr>
            <w:r>
              <w:rPr>
                <w:rFonts w:hint="default" w:ascii="Times New Roman" w:hAnsi="Times New Roman" w:eastAsia="黑体" w:cs="Times New Roman"/>
                <w:b w:val="0"/>
                <w:bCs w:val="0"/>
                <w:color w:val="auto"/>
                <w:sz w:val="24"/>
                <w:szCs w:val="24"/>
                <w:u w:val="none" w:color="auto"/>
                <w:vertAlign w:val="baseline"/>
                <w:lang w:val="en-US" w:eastAsia="zh-CN"/>
              </w:rPr>
              <w:t>政策名称</w:t>
            </w:r>
          </w:p>
        </w:tc>
        <w:tc>
          <w:tcPr>
            <w:tcW w:w="4390" w:type="dxa"/>
            <w:vAlign w:val="center"/>
          </w:tcPr>
          <w:p w14:paraId="2D99DE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4"/>
                <w:szCs w:val="24"/>
                <w:u w:val="none" w:color="auto"/>
                <w:vertAlign w:val="baseline"/>
                <w:lang w:val="en-US" w:eastAsia="zh-CN"/>
              </w:rPr>
            </w:pPr>
            <w:r>
              <w:rPr>
                <w:rFonts w:hint="default" w:ascii="Times New Roman" w:hAnsi="Times New Roman" w:eastAsia="黑体" w:cs="Times New Roman"/>
                <w:b w:val="0"/>
                <w:bCs w:val="0"/>
                <w:color w:val="auto"/>
                <w:sz w:val="24"/>
                <w:szCs w:val="24"/>
                <w:u w:val="none" w:color="auto"/>
                <w:vertAlign w:val="baseline"/>
                <w:lang w:val="en-US" w:eastAsia="zh-CN"/>
              </w:rPr>
              <w:t>适用范围（或适用条件）</w:t>
            </w:r>
          </w:p>
        </w:tc>
        <w:tc>
          <w:tcPr>
            <w:tcW w:w="2527" w:type="dxa"/>
            <w:vAlign w:val="center"/>
          </w:tcPr>
          <w:p w14:paraId="44874E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4"/>
                <w:szCs w:val="24"/>
                <w:u w:val="none" w:color="auto"/>
                <w:vertAlign w:val="baseline"/>
                <w:lang w:val="en-US" w:eastAsia="zh-CN"/>
              </w:rPr>
            </w:pPr>
            <w:r>
              <w:rPr>
                <w:rFonts w:hint="default" w:ascii="Times New Roman" w:hAnsi="Times New Roman" w:eastAsia="黑体" w:cs="Times New Roman"/>
                <w:b w:val="0"/>
                <w:bCs w:val="0"/>
                <w:color w:val="auto"/>
                <w:sz w:val="24"/>
                <w:szCs w:val="24"/>
                <w:u w:val="none" w:color="auto"/>
                <w:vertAlign w:val="baseline"/>
                <w:lang w:val="en-US" w:eastAsia="zh-CN"/>
              </w:rPr>
              <w:t>网页地址</w:t>
            </w:r>
          </w:p>
        </w:tc>
        <w:tc>
          <w:tcPr>
            <w:tcW w:w="2734" w:type="dxa"/>
            <w:vAlign w:val="center"/>
          </w:tcPr>
          <w:p w14:paraId="3FECCE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4"/>
                <w:szCs w:val="24"/>
                <w:u w:val="none" w:color="auto"/>
                <w:vertAlign w:val="baseline"/>
                <w:lang w:val="en-US" w:eastAsia="zh-CN"/>
              </w:rPr>
            </w:pPr>
            <w:r>
              <w:rPr>
                <w:rFonts w:hint="default" w:ascii="Times New Roman" w:hAnsi="Times New Roman" w:eastAsia="黑体" w:cs="Times New Roman"/>
                <w:b w:val="0"/>
                <w:bCs w:val="0"/>
                <w:color w:val="auto"/>
                <w:sz w:val="24"/>
                <w:szCs w:val="24"/>
                <w:u w:val="none" w:color="auto"/>
                <w:vertAlign w:val="baseline"/>
                <w:lang w:val="en-US" w:eastAsia="zh-CN"/>
              </w:rPr>
              <w:t>联系处室</w:t>
            </w:r>
          </w:p>
        </w:tc>
        <w:tc>
          <w:tcPr>
            <w:tcW w:w="1645" w:type="dxa"/>
            <w:vAlign w:val="center"/>
          </w:tcPr>
          <w:p w14:paraId="49CF5F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4"/>
                <w:szCs w:val="24"/>
                <w:u w:val="none" w:color="auto"/>
                <w:vertAlign w:val="baseline"/>
                <w:lang w:val="en-US" w:eastAsia="zh-CN"/>
              </w:rPr>
            </w:pPr>
            <w:r>
              <w:rPr>
                <w:rFonts w:hint="default" w:ascii="Times New Roman" w:hAnsi="Times New Roman" w:eastAsia="黑体" w:cs="Times New Roman"/>
                <w:b w:val="0"/>
                <w:bCs w:val="0"/>
                <w:color w:val="auto"/>
                <w:sz w:val="24"/>
                <w:szCs w:val="24"/>
                <w:u w:val="none" w:color="auto"/>
                <w:vertAlign w:val="baseline"/>
                <w:lang w:val="en-US" w:eastAsia="zh-CN"/>
              </w:rPr>
              <w:t>联系电话</w:t>
            </w:r>
          </w:p>
        </w:tc>
        <w:tc>
          <w:tcPr>
            <w:tcW w:w="1248" w:type="dxa"/>
            <w:vAlign w:val="center"/>
          </w:tcPr>
          <w:p w14:paraId="503D31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4"/>
                <w:szCs w:val="24"/>
                <w:u w:val="none" w:color="auto"/>
                <w:vertAlign w:val="baseline"/>
                <w:lang w:val="en-US" w:eastAsia="zh-CN"/>
              </w:rPr>
            </w:pPr>
            <w:r>
              <w:rPr>
                <w:rFonts w:hint="default" w:ascii="Times New Roman" w:hAnsi="Times New Roman" w:eastAsia="黑体" w:cs="Times New Roman"/>
                <w:b w:val="0"/>
                <w:bCs w:val="0"/>
                <w:color w:val="auto"/>
                <w:sz w:val="24"/>
                <w:szCs w:val="24"/>
                <w:u w:val="none" w:color="auto"/>
                <w:vertAlign w:val="baseline"/>
                <w:lang w:val="en-US" w:eastAsia="zh-CN"/>
              </w:rPr>
              <w:t>备注</w:t>
            </w:r>
          </w:p>
        </w:tc>
      </w:tr>
      <w:tr w14:paraId="5DC9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5156" w:type="dxa"/>
            <w:gridSpan w:val="7"/>
            <w:vAlign w:val="center"/>
          </w:tcPr>
          <w:p w14:paraId="4E90A88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楷体_GB2312" w:cs="Times New Roman"/>
                <w:b w:val="0"/>
                <w:bCs w:val="0"/>
                <w:color w:val="auto"/>
                <w:sz w:val="24"/>
                <w:szCs w:val="24"/>
                <w:u w:val="none" w:color="auto"/>
                <w:vertAlign w:val="baseline"/>
                <w:lang w:val="en-US" w:eastAsia="zh-CN"/>
              </w:rPr>
              <w:t>一、科技计划项目和资金（14项）</w:t>
            </w:r>
          </w:p>
        </w:tc>
      </w:tr>
      <w:tr w14:paraId="0F6F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798" w:type="dxa"/>
            <w:shd w:val="clear" w:color="auto" w:fill="auto"/>
            <w:vAlign w:val="center"/>
          </w:tcPr>
          <w:p w14:paraId="799744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1</w:t>
            </w:r>
          </w:p>
        </w:tc>
        <w:tc>
          <w:tcPr>
            <w:tcW w:w="1814" w:type="dxa"/>
            <w:shd w:val="clear" w:color="auto" w:fill="auto"/>
            <w:vAlign w:val="center"/>
          </w:tcPr>
          <w:p w14:paraId="3D5C700C">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重大科技专项</w:t>
            </w:r>
            <w:r>
              <w:rPr>
                <w:rFonts w:hint="default" w:ascii="Times New Roman" w:hAnsi="Times New Roman" w:eastAsia="仿宋_GB2312" w:cs="Times New Roman"/>
                <w:b w:val="0"/>
                <w:bCs w:val="0"/>
                <w:color w:val="auto"/>
                <w:sz w:val="24"/>
                <w:u w:val="none" w:color="auto"/>
                <w:lang w:eastAsia="zh-CN"/>
              </w:rPr>
              <w:t>项目</w:t>
            </w:r>
          </w:p>
        </w:tc>
        <w:tc>
          <w:tcPr>
            <w:tcW w:w="4390" w:type="dxa"/>
            <w:shd w:val="clear" w:color="auto" w:fill="auto"/>
            <w:vAlign w:val="center"/>
          </w:tcPr>
          <w:p w14:paraId="2A39A301">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该类项目主要支持聚焦国、省重大战略产品和重大产业化目标，集中优势力量在设定时限内进行重大集成式协同攻关。包括人工智能、先进制造与装备等</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十五五</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重大科技专项。</w:t>
            </w:r>
          </w:p>
          <w:p w14:paraId="62B9148E">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适用于具有独立法人资格的创新主体，鼓励企业牵头申报；高校、科研院所、医疗卫生机构等牵头的，应联合企业共同申报。（详见当年申报通知）</w:t>
            </w:r>
          </w:p>
        </w:tc>
        <w:tc>
          <w:tcPr>
            <w:tcW w:w="2527" w:type="dxa"/>
            <w:shd w:val="clear" w:color="auto" w:fill="auto"/>
            <w:vAlign w:val="center"/>
          </w:tcPr>
          <w:p w14:paraId="1BFF22C4">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各专项具体要求详见科技厅官网通知。</w:t>
            </w:r>
          </w:p>
        </w:tc>
        <w:tc>
          <w:tcPr>
            <w:tcW w:w="2734" w:type="dxa"/>
            <w:shd w:val="clear" w:color="auto" w:fill="auto"/>
            <w:vAlign w:val="center"/>
          </w:tcPr>
          <w:p w14:paraId="76C30D14">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lang w:val="en-US" w:eastAsia="zh-CN"/>
              </w:rPr>
              <w:t>资源处、</w:t>
            </w:r>
            <w:r>
              <w:rPr>
                <w:rFonts w:hint="default" w:ascii="Times New Roman" w:hAnsi="Times New Roman" w:eastAsia="仿宋_GB2312" w:cs="Times New Roman"/>
                <w:b w:val="0"/>
                <w:bCs w:val="0"/>
                <w:color w:val="auto"/>
                <w:sz w:val="24"/>
                <w:u w:val="none" w:color="auto"/>
              </w:rPr>
              <w:t>平台处</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基础处</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产业处</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人工智能处</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农资环处</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民生处</w:t>
            </w:r>
          </w:p>
        </w:tc>
        <w:tc>
          <w:tcPr>
            <w:tcW w:w="1645" w:type="dxa"/>
            <w:vAlign w:val="center"/>
          </w:tcPr>
          <w:p w14:paraId="6FB32442">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项目管理相关工作联系方式http://202.61.89.120/html/phone/433.html</w:t>
            </w:r>
          </w:p>
        </w:tc>
        <w:tc>
          <w:tcPr>
            <w:tcW w:w="1248" w:type="dxa"/>
            <w:shd w:val="clear" w:color="auto" w:fill="auto"/>
            <w:vAlign w:val="center"/>
          </w:tcPr>
          <w:p w14:paraId="0FB92DAD">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相关项目处室按照</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成熟一批，发布一批</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的原则，不定期发布申报指南。</w:t>
            </w:r>
          </w:p>
        </w:tc>
      </w:tr>
      <w:tr w14:paraId="5922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jc w:val="center"/>
        </w:trPr>
        <w:tc>
          <w:tcPr>
            <w:tcW w:w="798" w:type="dxa"/>
            <w:shd w:val="clear" w:color="auto" w:fill="auto"/>
            <w:vAlign w:val="center"/>
          </w:tcPr>
          <w:p w14:paraId="67249C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2</w:t>
            </w:r>
          </w:p>
        </w:tc>
        <w:tc>
          <w:tcPr>
            <w:tcW w:w="1814" w:type="dxa"/>
            <w:shd w:val="clear" w:color="auto" w:fill="auto"/>
            <w:vAlign w:val="center"/>
          </w:tcPr>
          <w:p w14:paraId="5A3D5868">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15+N</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重点产业链技术攻关项目</w:t>
            </w:r>
          </w:p>
        </w:tc>
        <w:tc>
          <w:tcPr>
            <w:tcW w:w="4390" w:type="dxa"/>
            <w:shd w:val="clear" w:color="auto" w:fill="auto"/>
            <w:vAlign w:val="center"/>
          </w:tcPr>
          <w:p w14:paraId="7B320411">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该类项目主要聚焦人工智能、航空航天、高端能源装备等</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15+N</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重点产业链强链延链补链，强化关键核心技术攻关，推动优质科技成果加快转化，促进创新成果与金融、产业有效对接。</w:t>
            </w:r>
          </w:p>
          <w:p w14:paraId="10D8EF26">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适用于具有独立法人资格的创新主体，鼓励企业牵头申报；高校、科研院所、医疗卫生机构等牵头的，应联合企业共同申报。（详见当年申报通知）</w:t>
            </w:r>
          </w:p>
        </w:tc>
        <w:tc>
          <w:tcPr>
            <w:tcW w:w="2527" w:type="dxa"/>
            <w:shd w:val="clear" w:color="auto" w:fill="auto"/>
            <w:vAlign w:val="center"/>
          </w:tcPr>
          <w:p w14:paraId="39CE5592">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参考</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四川省科学技术厅关于发布2025年重点产业链科技攻关项目申报指南的通知</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https://kjt.sc.gov.cn//kjt/gstz/2025/7/4/178960459d454bd69a12ff903d3d2574.shtml</w:t>
            </w:r>
          </w:p>
        </w:tc>
        <w:tc>
          <w:tcPr>
            <w:tcW w:w="2734" w:type="dxa"/>
            <w:shd w:val="clear" w:color="auto" w:fill="auto"/>
            <w:vAlign w:val="center"/>
          </w:tcPr>
          <w:p w14:paraId="32687C38">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1.人工智能产业链（人工智能处）</w:t>
            </w:r>
          </w:p>
          <w:p w14:paraId="4A49ABBD">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2.低空经济产业链（人工智能处）</w:t>
            </w:r>
          </w:p>
          <w:p w14:paraId="0ADA12D3">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3.航空航天产业链（平台处）</w:t>
            </w:r>
          </w:p>
          <w:p w14:paraId="745C98BB">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4.新能源产业链（产业处）</w:t>
            </w:r>
          </w:p>
          <w:p w14:paraId="6559444D">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5.银发经济产业链（民生处）</w:t>
            </w:r>
          </w:p>
          <w:p w14:paraId="19B0FC7E">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6.绿色建材产业链（农资环处）</w:t>
            </w:r>
          </w:p>
          <w:p w14:paraId="7517585F">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7.医药健康产业链（民生处）</w:t>
            </w:r>
          </w:p>
          <w:p w14:paraId="41DA7893">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8.现代物流产业链（产业处）</w:t>
            </w:r>
          </w:p>
          <w:p w14:paraId="2F1D9307">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9.农产品精深加工产业链（农资环处）</w:t>
            </w:r>
          </w:p>
          <w:p w14:paraId="153E4A7A">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10.文化旅游产业链（民生处）</w:t>
            </w:r>
          </w:p>
          <w:p w14:paraId="4AFC24C9">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11.平台经济产业链（人工智能处）</w:t>
            </w:r>
          </w:p>
          <w:p w14:paraId="0DC13EAE">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12.新型显示产业链（人工智能处）</w:t>
            </w:r>
          </w:p>
          <w:p w14:paraId="0FCB4790">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13.高端能源装备产业链（产业处）</w:t>
            </w:r>
          </w:p>
          <w:p w14:paraId="73127583">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14.软件和信息服务产业链（人工智能处）</w:t>
            </w:r>
          </w:p>
          <w:p w14:paraId="36D6079A">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15.新能源汽车及动力电池产业链（产业处）</w:t>
            </w:r>
          </w:p>
          <w:p w14:paraId="059BE961">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16.通信及量子科技产业链（基础处）</w:t>
            </w:r>
          </w:p>
          <w:p w14:paraId="623A69F8">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17.先进材料产业链（产业处）</w:t>
            </w:r>
          </w:p>
        </w:tc>
        <w:tc>
          <w:tcPr>
            <w:tcW w:w="1645" w:type="dxa"/>
            <w:vAlign w:val="center"/>
          </w:tcPr>
          <w:p w14:paraId="58B04077">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项目管理相关工作联系方式http://202.61.89.120/html/phone/433.html</w:t>
            </w:r>
          </w:p>
        </w:tc>
        <w:tc>
          <w:tcPr>
            <w:tcW w:w="1248" w:type="dxa"/>
            <w:shd w:val="clear" w:color="auto" w:fill="auto"/>
            <w:vAlign w:val="center"/>
          </w:tcPr>
          <w:p w14:paraId="361AA93D">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相关项目处室不定期发布申报指南。</w:t>
            </w:r>
          </w:p>
        </w:tc>
      </w:tr>
      <w:tr w14:paraId="23A1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jc w:val="center"/>
        </w:trPr>
        <w:tc>
          <w:tcPr>
            <w:tcW w:w="798" w:type="dxa"/>
            <w:shd w:val="clear" w:color="auto" w:fill="auto"/>
            <w:vAlign w:val="center"/>
          </w:tcPr>
          <w:p w14:paraId="45554F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3</w:t>
            </w:r>
          </w:p>
        </w:tc>
        <w:tc>
          <w:tcPr>
            <w:tcW w:w="1814" w:type="dxa"/>
            <w:shd w:val="clear" w:color="auto" w:fill="auto"/>
            <w:vAlign w:val="center"/>
          </w:tcPr>
          <w:p w14:paraId="2CA647BD">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省自然科学基金项目</w:t>
            </w:r>
          </w:p>
        </w:tc>
        <w:tc>
          <w:tcPr>
            <w:tcW w:w="4390" w:type="dxa"/>
            <w:shd w:val="clear" w:color="auto" w:fill="auto"/>
            <w:vAlign w:val="center"/>
          </w:tcPr>
          <w:p w14:paraId="5CB480E6">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both"/>
              <w:textAlignment w:val="auto"/>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该类项目主要通过竞争性支持和稳定支持相结合的方式，支持自由探索类、目标导向类基础研究和开展科学前沿探索、创新理论和方法等。</w:t>
            </w:r>
          </w:p>
          <w:p w14:paraId="3FDD77AD">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both"/>
              <w:textAlignment w:val="auto"/>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适用于具有独立法人资格的高等院校、科研院所、医疗卫生机构和其他具备科研开发、科技服务和决策咨询研究能力的企业及单位。（详见当年申报通知）</w:t>
            </w:r>
          </w:p>
        </w:tc>
        <w:tc>
          <w:tcPr>
            <w:tcW w:w="2527" w:type="dxa"/>
            <w:shd w:val="clear" w:color="auto" w:fill="auto"/>
            <w:vAlign w:val="center"/>
          </w:tcPr>
          <w:p w14:paraId="27991D4E">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参考</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四川省科学技术厅关于发布2026年四川省自然科学基金项目申报指南的通知</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https://kjt.sc.gov.cn//kjt/gstz/2025/9/17/0277f5e21b094fd69c282aeb6839f067.shtm</w:t>
            </w:r>
          </w:p>
          <w:p w14:paraId="27777D55">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p>
        </w:tc>
        <w:tc>
          <w:tcPr>
            <w:tcW w:w="2734" w:type="dxa"/>
            <w:shd w:val="clear" w:color="auto" w:fill="auto"/>
            <w:vAlign w:val="center"/>
          </w:tcPr>
          <w:p w14:paraId="71D2983F">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基础处</w:t>
            </w:r>
          </w:p>
        </w:tc>
        <w:tc>
          <w:tcPr>
            <w:tcW w:w="1645" w:type="dxa"/>
            <w:shd w:val="clear" w:color="auto" w:fill="auto"/>
            <w:vAlign w:val="center"/>
          </w:tcPr>
          <w:p w14:paraId="10AF6A32">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028-86717593、86671925</w:t>
            </w:r>
          </w:p>
        </w:tc>
        <w:tc>
          <w:tcPr>
            <w:tcW w:w="1248" w:type="dxa"/>
            <w:shd w:val="clear" w:color="auto" w:fill="auto"/>
            <w:vAlign w:val="center"/>
          </w:tcPr>
          <w:p w14:paraId="3CFDFA74">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每年10月底前发布下一年度申报指南</w:t>
            </w:r>
            <w:r>
              <w:rPr>
                <w:rFonts w:hint="default" w:ascii="Times New Roman" w:hAnsi="Times New Roman" w:eastAsia="仿宋_GB2312" w:cs="Times New Roman"/>
                <w:b w:val="0"/>
                <w:bCs w:val="0"/>
                <w:color w:val="auto"/>
                <w:sz w:val="24"/>
                <w:u w:val="none" w:color="auto"/>
                <w:lang w:eastAsia="zh-CN"/>
              </w:rPr>
              <w:t>。</w:t>
            </w:r>
          </w:p>
        </w:tc>
      </w:tr>
      <w:tr w14:paraId="1F4A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798" w:type="dxa"/>
            <w:shd w:val="clear" w:color="auto" w:fill="auto"/>
            <w:vAlign w:val="center"/>
          </w:tcPr>
          <w:p w14:paraId="1550F5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4</w:t>
            </w:r>
          </w:p>
        </w:tc>
        <w:tc>
          <w:tcPr>
            <w:tcW w:w="1814" w:type="dxa"/>
            <w:shd w:val="clear" w:color="auto" w:fill="auto"/>
            <w:vAlign w:val="center"/>
          </w:tcPr>
          <w:p w14:paraId="41840786">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kern w:val="0"/>
                <w:sz w:val="24"/>
                <w:u w:val="none" w:color="auto"/>
              </w:rPr>
              <w:t>国家自然科学基金区域联合基金项目</w:t>
            </w:r>
          </w:p>
        </w:tc>
        <w:tc>
          <w:tcPr>
            <w:tcW w:w="4390" w:type="dxa"/>
            <w:shd w:val="clear" w:color="auto" w:fill="auto"/>
            <w:vAlign w:val="center"/>
          </w:tcPr>
          <w:p w14:paraId="4D96D67A">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该类项目主要通过发挥国家自然科学基金的导向作用，吸引和集聚全国的优势科研力量，围绕区域经济与社会发展中的重大需求，聚焦其中的关键科学问题开展基础研究和应用基础研究，促进跨区域、跨部门的协同创新，推动我国区域自主创新能力的提升。</w:t>
            </w:r>
          </w:p>
          <w:p w14:paraId="71D39B5C">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适用于在国家自然科学基金委注册的单位，具体要求按照国家基金委相关管理办法执行。（详见当年申报通知）</w:t>
            </w:r>
          </w:p>
        </w:tc>
        <w:tc>
          <w:tcPr>
            <w:tcW w:w="2527" w:type="dxa"/>
            <w:shd w:val="clear" w:color="auto" w:fill="auto"/>
            <w:vAlign w:val="center"/>
          </w:tcPr>
          <w:p w14:paraId="41A819A7">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https://www.nsfc.gov.cn/</w:t>
            </w:r>
          </w:p>
        </w:tc>
        <w:tc>
          <w:tcPr>
            <w:tcW w:w="2734" w:type="dxa"/>
            <w:shd w:val="clear" w:color="auto" w:fill="auto"/>
            <w:vAlign w:val="center"/>
          </w:tcPr>
          <w:p w14:paraId="5D3177E2">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基础处</w:t>
            </w:r>
          </w:p>
        </w:tc>
        <w:tc>
          <w:tcPr>
            <w:tcW w:w="1645" w:type="dxa"/>
            <w:shd w:val="clear" w:color="auto" w:fill="auto"/>
            <w:vAlign w:val="center"/>
          </w:tcPr>
          <w:p w14:paraId="3E5C69DE">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028-86717593、86671925</w:t>
            </w:r>
          </w:p>
        </w:tc>
        <w:tc>
          <w:tcPr>
            <w:tcW w:w="1248" w:type="dxa"/>
            <w:shd w:val="clear" w:color="auto" w:fill="auto"/>
            <w:vAlign w:val="center"/>
          </w:tcPr>
          <w:p w14:paraId="7D3EF648">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每年定期征集需求</w:t>
            </w:r>
            <w:r>
              <w:rPr>
                <w:rFonts w:hint="default" w:ascii="Times New Roman" w:hAnsi="Times New Roman" w:eastAsia="仿宋_GB2312" w:cs="Times New Roman"/>
                <w:b w:val="0"/>
                <w:bCs w:val="0"/>
                <w:color w:val="auto"/>
                <w:sz w:val="24"/>
                <w:u w:val="none" w:color="auto"/>
                <w:lang w:eastAsia="zh-CN"/>
              </w:rPr>
              <w:t>。</w:t>
            </w:r>
          </w:p>
        </w:tc>
      </w:tr>
      <w:tr w14:paraId="5072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98" w:type="dxa"/>
            <w:vMerge w:val="restart"/>
            <w:shd w:val="clear" w:color="auto" w:fill="auto"/>
            <w:vAlign w:val="center"/>
          </w:tcPr>
          <w:p w14:paraId="237EC6E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5</w:t>
            </w:r>
          </w:p>
        </w:tc>
        <w:tc>
          <w:tcPr>
            <w:tcW w:w="1814" w:type="dxa"/>
            <w:vMerge w:val="restart"/>
            <w:shd w:val="clear" w:color="auto" w:fill="auto"/>
            <w:vAlign w:val="center"/>
          </w:tcPr>
          <w:p w14:paraId="164AE96F">
            <w:pPr>
              <w:spacing w:line="260" w:lineRule="exact"/>
              <w:jc w:val="both"/>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kern w:val="0"/>
                <w:sz w:val="22"/>
                <w:u w:val="none" w:color="auto"/>
              </w:rPr>
              <w:t>科技创新合作项目</w:t>
            </w:r>
          </w:p>
        </w:tc>
        <w:tc>
          <w:tcPr>
            <w:tcW w:w="4390" w:type="dxa"/>
            <w:vMerge w:val="restart"/>
            <w:shd w:val="clear" w:color="auto" w:fill="auto"/>
            <w:vAlign w:val="center"/>
          </w:tcPr>
          <w:p w14:paraId="553F6E0F">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该类项目主要面向全球开展基础研究、应用基础研究、技术研发和科技成果转移转化合作，建强国际科技区域创新、省院省校合作载体，优化载体体系和创新要素配置机制，提升科技合作成果转移转化效能，更好服务国家外交大局。包括国际/港澳台科技创新合作、区域创新合作、省院省校合作项目。</w:t>
            </w:r>
          </w:p>
          <w:p w14:paraId="2BD628EF">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适用于具有独立法人资格的高等院校、科研院所、医疗卫生机构和其他具备科研开发、科技服务和决策咨询研究能力的企业及单位。（详见当年申报通知）</w:t>
            </w:r>
          </w:p>
        </w:tc>
        <w:tc>
          <w:tcPr>
            <w:tcW w:w="2527" w:type="dxa"/>
            <w:vMerge w:val="restart"/>
            <w:shd w:val="clear" w:color="auto" w:fill="auto"/>
            <w:vAlign w:val="center"/>
          </w:tcPr>
          <w:p w14:paraId="3EC2AADE">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参考</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四川省科学技术厅关于发布2026年度国际科技创新/港澳台科技创新合作项目申报指南的通知</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https://kjt.sc.gov.cn//kjt/gstz/2025/9/17/1959a2ee35844389a80b43eb99950708.shtml</w:t>
            </w:r>
            <w:r>
              <w:rPr>
                <w:rFonts w:hint="default" w:ascii="Times New Roman" w:hAnsi="Times New Roman" w:eastAsia="仿宋_GB2312" w:cs="Times New Roman"/>
                <w:b w:val="0"/>
                <w:bCs w:val="0"/>
                <w:color w:val="auto"/>
                <w:sz w:val="24"/>
                <w:u w:val="none" w:color="auto"/>
              </w:rPr>
              <w:br w:type="textWrapping"/>
            </w:r>
            <w:r>
              <w:rPr>
                <w:rFonts w:hint="default" w:ascii="Times New Roman" w:hAnsi="Times New Roman" w:eastAsia="仿宋_GB2312" w:cs="Times New Roman"/>
                <w:b w:val="0"/>
                <w:bCs w:val="0"/>
                <w:color w:val="auto"/>
                <w:sz w:val="24"/>
                <w:u w:val="none" w:color="auto"/>
              </w:rPr>
              <w:t>各类项目详见科技厅官网通知。</w:t>
            </w:r>
          </w:p>
        </w:tc>
        <w:tc>
          <w:tcPr>
            <w:tcW w:w="2734" w:type="dxa"/>
            <w:shd w:val="clear" w:color="auto" w:fill="auto"/>
            <w:vAlign w:val="center"/>
          </w:tcPr>
          <w:p w14:paraId="3AB293B6">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lang w:val="en-US" w:eastAsia="zh-CN"/>
              </w:rPr>
              <w:t>1.</w:t>
            </w:r>
            <w:r>
              <w:rPr>
                <w:rFonts w:hint="default" w:ascii="Times New Roman" w:hAnsi="Times New Roman" w:eastAsia="仿宋_GB2312" w:cs="Times New Roman"/>
                <w:b w:val="0"/>
                <w:bCs w:val="0"/>
                <w:color w:val="auto"/>
                <w:sz w:val="24"/>
                <w:u w:val="none" w:color="auto"/>
              </w:rPr>
              <w:t>国际/港澳台科技创新合作</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合作处</w:t>
            </w:r>
            <w:r>
              <w:rPr>
                <w:rFonts w:hint="default" w:ascii="Times New Roman" w:hAnsi="Times New Roman" w:eastAsia="仿宋_GB2312" w:cs="Times New Roman"/>
                <w:b w:val="0"/>
                <w:bCs w:val="0"/>
                <w:color w:val="auto"/>
                <w:sz w:val="24"/>
                <w:u w:val="none" w:color="auto"/>
                <w:lang w:eastAsia="zh-CN"/>
              </w:rPr>
              <w:t>）</w:t>
            </w:r>
          </w:p>
        </w:tc>
        <w:tc>
          <w:tcPr>
            <w:tcW w:w="1645" w:type="dxa"/>
            <w:vAlign w:val="center"/>
          </w:tcPr>
          <w:p w14:paraId="77AF1F49">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028-86668672、86631802</w:t>
            </w:r>
          </w:p>
        </w:tc>
        <w:tc>
          <w:tcPr>
            <w:tcW w:w="1248" w:type="dxa"/>
            <w:vMerge w:val="restart"/>
            <w:shd w:val="clear" w:color="auto" w:fill="auto"/>
            <w:vAlign w:val="center"/>
          </w:tcPr>
          <w:p w14:paraId="62270888">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相关项目处室不定期发布申报指南。</w:t>
            </w:r>
          </w:p>
        </w:tc>
      </w:tr>
      <w:tr w14:paraId="5966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98" w:type="dxa"/>
            <w:vMerge w:val="continue"/>
            <w:shd w:val="clear" w:color="auto" w:fill="auto"/>
            <w:vAlign w:val="center"/>
          </w:tcPr>
          <w:p w14:paraId="712C8C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p>
        </w:tc>
        <w:tc>
          <w:tcPr>
            <w:tcW w:w="1814" w:type="dxa"/>
            <w:vMerge w:val="continue"/>
            <w:shd w:val="clear" w:color="auto" w:fill="auto"/>
            <w:vAlign w:val="center"/>
          </w:tcPr>
          <w:p w14:paraId="317A293F">
            <w:pPr>
              <w:spacing w:line="260" w:lineRule="exact"/>
              <w:jc w:val="both"/>
              <w:rPr>
                <w:rFonts w:hint="default" w:ascii="Times New Roman" w:hAnsi="Times New Roman" w:eastAsia="仿宋_GB2312" w:cs="Times New Roman"/>
                <w:b w:val="0"/>
                <w:bCs w:val="0"/>
                <w:color w:val="auto"/>
                <w:kern w:val="0"/>
                <w:sz w:val="22"/>
                <w:u w:val="none" w:color="auto"/>
              </w:rPr>
            </w:pPr>
          </w:p>
        </w:tc>
        <w:tc>
          <w:tcPr>
            <w:tcW w:w="4390" w:type="dxa"/>
            <w:vMerge w:val="continue"/>
            <w:shd w:val="clear" w:color="auto" w:fill="auto"/>
            <w:vAlign w:val="center"/>
          </w:tcPr>
          <w:p w14:paraId="35AF973A">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sz w:val="24"/>
                <w:u w:val="none" w:color="auto"/>
              </w:rPr>
            </w:pPr>
          </w:p>
        </w:tc>
        <w:tc>
          <w:tcPr>
            <w:tcW w:w="2527" w:type="dxa"/>
            <w:vMerge w:val="continue"/>
            <w:shd w:val="clear" w:color="auto" w:fill="auto"/>
            <w:vAlign w:val="center"/>
          </w:tcPr>
          <w:p w14:paraId="4B01AA8E">
            <w:pPr>
              <w:spacing w:line="260" w:lineRule="exact"/>
              <w:jc w:val="left"/>
              <w:rPr>
                <w:rFonts w:hint="default" w:ascii="Times New Roman" w:hAnsi="Times New Roman" w:eastAsia="仿宋_GB2312" w:cs="Times New Roman"/>
                <w:b w:val="0"/>
                <w:bCs w:val="0"/>
                <w:color w:val="auto"/>
                <w:sz w:val="24"/>
                <w:u w:val="none" w:color="auto"/>
              </w:rPr>
            </w:pPr>
          </w:p>
        </w:tc>
        <w:tc>
          <w:tcPr>
            <w:tcW w:w="2734" w:type="dxa"/>
            <w:shd w:val="clear" w:color="auto" w:fill="auto"/>
            <w:vAlign w:val="center"/>
          </w:tcPr>
          <w:p w14:paraId="674FF640">
            <w:pPr>
              <w:spacing w:line="260" w:lineRule="exact"/>
              <w:jc w:val="both"/>
              <w:rPr>
                <w:rFonts w:hint="default" w:ascii="Times New Roman" w:hAnsi="Times New Roman" w:eastAsia="仿宋_GB2312" w:cs="Times New Roman"/>
                <w:b w:val="0"/>
                <w:bCs w:val="0"/>
                <w:color w:val="auto"/>
                <w:sz w:val="24"/>
                <w:u w:val="none" w:color="auto"/>
                <w:lang w:val="en-US" w:eastAsia="zh-CN"/>
              </w:rPr>
            </w:pPr>
            <w:r>
              <w:rPr>
                <w:rFonts w:hint="default" w:ascii="Times New Roman" w:hAnsi="Times New Roman" w:eastAsia="仿宋_GB2312" w:cs="Times New Roman"/>
                <w:b w:val="0"/>
                <w:bCs w:val="0"/>
                <w:color w:val="auto"/>
                <w:sz w:val="24"/>
                <w:u w:val="none" w:color="auto"/>
                <w:lang w:val="en-US" w:eastAsia="zh-CN"/>
              </w:rPr>
              <w:t>2.</w:t>
            </w:r>
            <w:r>
              <w:rPr>
                <w:rFonts w:hint="default" w:ascii="Times New Roman" w:hAnsi="Times New Roman" w:eastAsia="仿宋_GB2312" w:cs="Times New Roman"/>
                <w:b w:val="0"/>
                <w:bCs w:val="0"/>
                <w:color w:val="auto"/>
                <w:sz w:val="24"/>
                <w:u w:val="none" w:color="auto"/>
              </w:rPr>
              <w:t>成渝地区</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一带一路</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科技合作</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双千</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计划项目</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合作处</w:t>
            </w:r>
            <w:r>
              <w:rPr>
                <w:rFonts w:hint="default" w:ascii="Times New Roman" w:hAnsi="Times New Roman" w:eastAsia="仿宋_GB2312" w:cs="Times New Roman"/>
                <w:b w:val="0"/>
                <w:bCs w:val="0"/>
                <w:color w:val="auto"/>
                <w:sz w:val="24"/>
                <w:u w:val="none" w:color="auto"/>
                <w:lang w:eastAsia="zh-CN"/>
              </w:rPr>
              <w:t>）</w:t>
            </w:r>
          </w:p>
        </w:tc>
        <w:tc>
          <w:tcPr>
            <w:tcW w:w="1645" w:type="dxa"/>
            <w:vAlign w:val="center"/>
          </w:tcPr>
          <w:p w14:paraId="2A3C5174">
            <w:pPr>
              <w:spacing w:line="260" w:lineRule="exact"/>
              <w:jc w:val="left"/>
              <w:rPr>
                <w:rFonts w:hint="default" w:ascii="Times New Roman" w:hAnsi="Times New Roman" w:eastAsia="仿宋_GB2312" w:cs="Times New Roman"/>
                <w:b w:val="0"/>
                <w:bCs w:val="0"/>
                <w:color w:val="auto"/>
                <w:sz w:val="24"/>
                <w:u w:val="none" w:color="auto"/>
                <w:lang w:val="en-US" w:eastAsia="zh-CN"/>
              </w:rPr>
            </w:pPr>
            <w:r>
              <w:rPr>
                <w:rFonts w:hint="default" w:ascii="Times New Roman" w:hAnsi="Times New Roman" w:eastAsia="仿宋_GB2312" w:cs="Times New Roman"/>
                <w:b w:val="0"/>
                <w:bCs w:val="0"/>
                <w:color w:val="auto"/>
                <w:sz w:val="24"/>
                <w:u w:val="none" w:color="auto"/>
                <w:lang w:val="en-US" w:eastAsia="zh-CN"/>
              </w:rPr>
              <w:t>028-86668672</w:t>
            </w:r>
          </w:p>
        </w:tc>
        <w:tc>
          <w:tcPr>
            <w:tcW w:w="1248" w:type="dxa"/>
            <w:vMerge w:val="continue"/>
            <w:shd w:val="clear" w:color="auto" w:fill="auto"/>
            <w:vAlign w:val="center"/>
          </w:tcPr>
          <w:p w14:paraId="446EE2A0">
            <w:pPr>
              <w:spacing w:line="260" w:lineRule="exact"/>
              <w:jc w:val="left"/>
              <w:rPr>
                <w:rFonts w:hint="default" w:ascii="Times New Roman" w:hAnsi="Times New Roman" w:eastAsia="仿宋_GB2312" w:cs="Times New Roman"/>
                <w:b w:val="0"/>
                <w:bCs w:val="0"/>
                <w:color w:val="auto"/>
                <w:sz w:val="24"/>
                <w:u w:val="none" w:color="auto"/>
              </w:rPr>
            </w:pPr>
          </w:p>
        </w:tc>
      </w:tr>
      <w:tr w14:paraId="689A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98" w:type="dxa"/>
            <w:vMerge w:val="continue"/>
            <w:shd w:val="clear" w:color="auto" w:fill="auto"/>
            <w:vAlign w:val="center"/>
          </w:tcPr>
          <w:p w14:paraId="5776837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p>
        </w:tc>
        <w:tc>
          <w:tcPr>
            <w:tcW w:w="1814" w:type="dxa"/>
            <w:vMerge w:val="continue"/>
            <w:shd w:val="clear" w:color="auto" w:fill="auto"/>
            <w:vAlign w:val="center"/>
          </w:tcPr>
          <w:p w14:paraId="6B59CAE8">
            <w:pPr>
              <w:spacing w:line="260" w:lineRule="exact"/>
              <w:jc w:val="both"/>
              <w:rPr>
                <w:rFonts w:hint="default" w:ascii="Times New Roman" w:hAnsi="Times New Roman" w:eastAsia="仿宋_GB2312" w:cs="Times New Roman"/>
                <w:b w:val="0"/>
                <w:bCs w:val="0"/>
                <w:color w:val="auto"/>
                <w:kern w:val="0"/>
                <w:sz w:val="22"/>
                <w:u w:val="none" w:color="auto"/>
              </w:rPr>
            </w:pPr>
          </w:p>
        </w:tc>
        <w:tc>
          <w:tcPr>
            <w:tcW w:w="4390" w:type="dxa"/>
            <w:vMerge w:val="continue"/>
            <w:shd w:val="clear" w:color="auto" w:fill="auto"/>
            <w:vAlign w:val="center"/>
          </w:tcPr>
          <w:p w14:paraId="261A0E62">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sz w:val="24"/>
                <w:u w:val="none" w:color="auto"/>
              </w:rPr>
            </w:pPr>
          </w:p>
        </w:tc>
        <w:tc>
          <w:tcPr>
            <w:tcW w:w="2527" w:type="dxa"/>
            <w:vMerge w:val="continue"/>
            <w:shd w:val="clear" w:color="auto" w:fill="auto"/>
            <w:vAlign w:val="center"/>
          </w:tcPr>
          <w:p w14:paraId="76808F40">
            <w:pPr>
              <w:spacing w:line="260" w:lineRule="exact"/>
              <w:jc w:val="left"/>
              <w:rPr>
                <w:rFonts w:hint="default" w:ascii="Times New Roman" w:hAnsi="Times New Roman" w:eastAsia="仿宋_GB2312" w:cs="Times New Roman"/>
                <w:b w:val="0"/>
                <w:bCs w:val="0"/>
                <w:color w:val="auto"/>
                <w:sz w:val="24"/>
                <w:u w:val="none" w:color="auto"/>
              </w:rPr>
            </w:pPr>
          </w:p>
        </w:tc>
        <w:tc>
          <w:tcPr>
            <w:tcW w:w="2734" w:type="dxa"/>
            <w:shd w:val="clear" w:color="auto" w:fill="auto"/>
            <w:vAlign w:val="center"/>
          </w:tcPr>
          <w:p w14:paraId="31685408">
            <w:pPr>
              <w:spacing w:line="260" w:lineRule="exact"/>
              <w:jc w:val="left"/>
              <w:rPr>
                <w:rFonts w:hint="default" w:ascii="Times New Roman" w:hAnsi="Times New Roman" w:eastAsia="仿宋_GB2312" w:cs="Times New Roman"/>
                <w:b w:val="0"/>
                <w:bCs w:val="0"/>
                <w:color w:val="auto"/>
                <w:sz w:val="24"/>
                <w:u w:val="none" w:color="auto"/>
                <w:lang w:val="en-US" w:eastAsia="zh-CN"/>
              </w:rPr>
            </w:pPr>
            <w:r>
              <w:rPr>
                <w:rFonts w:hint="default" w:ascii="Times New Roman" w:hAnsi="Times New Roman" w:eastAsia="仿宋_GB2312" w:cs="Times New Roman"/>
                <w:b w:val="0"/>
                <w:bCs w:val="0"/>
                <w:color w:val="auto"/>
                <w:sz w:val="24"/>
                <w:u w:val="none" w:color="auto"/>
                <w:lang w:val="en-US" w:eastAsia="zh-CN"/>
              </w:rPr>
              <w:t>3.</w:t>
            </w:r>
            <w:r>
              <w:rPr>
                <w:rFonts w:hint="default" w:ascii="Times New Roman" w:hAnsi="Times New Roman" w:eastAsia="仿宋_GB2312" w:cs="Times New Roman"/>
                <w:b w:val="0"/>
                <w:bCs w:val="0"/>
                <w:color w:val="auto"/>
                <w:sz w:val="24"/>
                <w:u w:val="none" w:color="auto"/>
              </w:rPr>
              <w:t>区域创新合作项目</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合作处</w:t>
            </w:r>
            <w:r>
              <w:rPr>
                <w:rFonts w:hint="default" w:ascii="Times New Roman" w:hAnsi="Times New Roman" w:eastAsia="仿宋_GB2312" w:cs="Times New Roman"/>
                <w:b w:val="0"/>
                <w:bCs w:val="0"/>
                <w:color w:val="auto"/>
                <w:sz w:val="24"/>
                <w:u w:val="none" w:color="auto"/>
                <w:lang w:eastAsia="zh-CN"/>
              </w:rPr>
              <w:t>）</w:t>
            </w:r>
          </w:p>
        </w:tc>
        <w:tc>
          <w:tcPr>
            <w:tcW w:w="1645" w:type="dxa"/>
            <w:vAlign w:val="center"/>
          </w:tcPr>
          <w:p w14:paraId="3B3EDACF">
            <w:pPr>
              <w:spacing w:line="260" w:lineRule="exact"/>
              <w:jc w:val="left"/>
              <w:rPr>
                <w:rFonts w:hint="default" w:ascii="Times New Roman" w:hAnsi="Times New Roman" w:eastAsia="仿宋_GB2312" w:cs="Times New Roman"/>
                <w:b w:val="0"/>
                <w:bCs w:val="0"/>
                <w:color w:val="auto"/>
                <w:sz w:val="24"/>
                <w:u w:val="none" w:color="auto"/>
                <w:lang w:val="en-US" w:eastAsia="zh-CN"/>
              </w:rPr>
            </w:pPr>
            <w:r>
              <w:rPr>
                <w:rFonts w:hint="default" w:ascii="Times New Roman" w:hAnsi="Times New Roman" w:eastAsia="仿宋_GB2312" w:cs="Times New Roman"/>
                <w:b w:val="0"/>
                <w:bCs w:val="0"/>
                <w:color w:val="auto"/>
                <w:sz w:val="24"/>
                <w:u w:val="none" w:color="auto"/>
                <w:lang w:val="en-US" w:eastAsia="zh-CN"/>
              </w:rPr>
              <w:t>028-86613642</w:t>
            </w:r>
          </w:p>
        </w:tc>
        <w:tc>
          <w:tcPr>
            <w:tcW w:w="1248" w:type="dxa"/>
            <w:vMerge w:val="continue"/>
            <w:shd w:val="clear" w:color="auto" w:fill="auto"/>
            <w:vAlign w:val="center"/>
          </w:tcPr>
          <w:p w14:paraId="1F33F897">
            <w:pPr>
              <w:spacing w:line="260" w:lineRule="exact"/>
              <w:jc w:val="left"/>
              <w:rPr>
                <w:rFonts w:hint="default" w:ascii="Times New Roman" w:hAnsi="Times New Roman" w:eastAsia="仿宋_GB2312" w:cs="Times New Roman"/>
                <w:b w:val="0"/>
                <w:bCs w:val="0"/>
                <w:color w:val="auto"/>
                <w:sz w:val="24"/>
                <w:u w:val="none" w:color="auto"/>
              </w:rPr>
            </w:pPr>
          </w:p>
        </w:tc>
      </w:tr>
      <w:tr w14:paraId="2083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98" w:type="dxa"/>
            <w:vMerge w:val="continue"/>
            <w:shd w:val="clear" w:color="auto" w:fill="auto"/>
            <w:vAlign w:val="center"/>
          </w:tcPr>
          <w:p w14:paraId="35BC32BD">
            <w:pPr>
              <w:spacing w:line="260" w:lineRule="exact"/>
              <w:jc w:val="left"/>
              <w:rPr>
                <w:rFonts w:hint="default" w:ascii="Times New Roman" w:hAnsi="Times New Roman" w:eastAsia="仿宋_GB2312" w:cs="Times New Roman"/>
                <w:b w:val="0"/>
                <w:bCs w:val="0"/>
                <w:color w:val="auto"/>
                <w:u w:val="none" w:color="auto"/>
              </w:rPr>
            </w:pPr>
          </w:p>
        </w:tc>
        <w:tc>
          <w:tcPr>
            <w:tcW w:w="1814" w:type="dxa"/>
            <w:vMerge w:val="continue"/>
            <w:shd w:val="clear" w:color="auto" w:fill="auto"/>
            <w:vAlign w:val="center"/>
          </w:tcPr>
          <w:p w14:paraId="6E5CF86B">
            <w:pPr>
              <w:spacing w:line="260" w:lineRule="exact"/>
              <w:jc w:val="both"/>
              <w:rPr>
                <w:rFonts w:hint="default" w:ascii="Times New Roman" w:hAnsi="Times New Roman" w:eastAsia="仿宋_GB2312" w:cs="Times New Roman"/>
                <w:b w:val="0"/>
                <w:bCs w:val="0"/>
                <w:color w:val="auto"/>
                <w:u w:val="none" w:color="auto"/>
              </w:rPr>
            </w:pPr>
          </w:p>
        </w:tc>
        <w:tc>
          <w:tcPr>
            <w:tcW w:w="4390" w:type="dxa"/>
            <w:vMerge w:val="continue"/>
            <w:shd w:val="clear" w:color="auto" w:fill="auto"/>
            <w:vAlign w:val="center"/>
          </w:tcPr>
          <w:p w14:paraId="4C969374">
            <w:pPr>
              <w:spacing w:line="260" w:lineRule="exact"/>
              <w:jc w:val="left"/>
              <w:rPr>
                <w:rFonts w:hint="default" w:ascii="Times New Roman" w:hAnsi="Times New Roman" w:eastAsia="仿宋_GB2312" w:cs="Times New Roman"/>
                <w:b w:val="0"/>
                <w:bCs w:val="0"/>
                <w:color w:val="auto"/>
                <w:u w:val="none" w:color="auto"/>
              </w:rPr>
            </w:pPr>
          </w:p>
        </w:tc>
        <w:tc>
          <w:tcPr>
            <w:tcW w:w="2527" w:type="dxa"/>
            <w:vMerge w:val="continue"/>
            <w:shd w:val="clear" w:color="auto" w:fill="auto"/>
            <w:vAlign w:val="center"/>
          </w:tcPr>
          <w:p w14:paraId="654A7C2D">
            <w:pPr>
              <w:spacing w:line="260" w:lineRule="exact"/>
              <w:jc w:val="left"/>
              <w:rPr>
                <w:rFonts w:hint="default" w:ascii="Times New Roman" w:hAnsi="Times New Roman" w:eastAsia="仿宋_GB2312" w:cs="Times New Roman"/>
                <w:b w:val="0"/>
                <w:bCs w:val="0"/>
                <w:color w:val="auto"/>
                <w:u w:val="none" w:color="auto"/>
              </w:rPr>
            </w:pPr>
          </w:p>
        </w:tc>
        <w:tc>
          <w:tcPr>
            <w:tcW w:w="2734" w:type="dxa"/>
            <w:shd w:val="clear" w:color="auto" w:fill="auto"/>
            <w:vAlign w:val="center"/>
          </w:tcPr>
          <w:p w14:paraId="0A83F06A">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lang w:val="en-US" w:eastAsia="zh-CN"/>
              </w:rPr>
              <w:t>4.</w:t>
            </w:r>
            <w:r>
              <w:rPr>
                <w:rFonts w:hint="default" w:ascii="Times New Roman" w:hAnsi="Times New Roman" w:eastAsia="仿宋_GB2312" w:cs="Times New Roman"/>
                <w:b w:val="0"/>
                <w:bCs w:val="0"/>
                <w:color w:val="auto"/>
                <w:sz w:val="24"/>
                <w:u w:val="none" w:color="auto"/>
              </w:rPr>
              <w:t>省院省校合作项目</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人才处</w:t>
            </w:r>
            <w:r>
              <w:rPr>
                <w:rFonts w:hint="default" w:ascii="Times New Roman" w:hAnsi="Times New Roman" w:eastAsia="仿宋_GB2312" w:cs="Times New Roman"/>
                <w:b w:val="0"/>
                <w:bCs w:val="0"/>
                <w:color w:val="auto"/>
                <w:sz w:val="24"/>
                <w:u w:val="none" w:color="auto"/>
                <w:lang w:eastAsia="zh-CN"/>
              </w:rPr>
              <w:t>）</w:t>
            </w:r>
          </w:p>
        </w:tc>
        <w:tc>
          <w:tcPr>
            <w:tcW w:w="1645" w:type="dxa"/>
            <w:vAlign w:val="center"/>
          </w:tcPr>
          <w:p w14:paraId="7E1BB14F">
            <w:pPr>
              <w:spacing w:line="260" w:lineRule="exact"/>
              <w:jc w:val="left"/>
              <w:rPr>
                <w:rFonts w:hint="default" w:ascii="Times New Roman" w:hAnsi="Times New Roman" w:eastAsia="仿宋_GB2312" w:cs="Times New Roman"/>
                <w:b w:val="0"/>
                <w:bCs w:val="0"/>
                <w:color w:val="auto"/>
                <w:sz w:val="24"/>
                <w:u w:val="none" w:color="auto"/>
                <w:lang w:val="en-US" w:eastAsia="zh-CN"/>
              </w:rPr>
            </w:pPr>
            <w:r>
              <w:rPr>
                <w:rFonts w:hint="default" w:ascii="Times New Roman" w:hAnsi="Times New Roman" w:eastAsia="仿宋_GB2312" w:cs="Times New Roman"/>
                <w:b w:val="0"/>
                <w:bCs w:val="0"/>
                <w:color w:val="auto"/>
                <w:sz w:val="24"/>
                <w:u w:val="none" w:color="auto"/>
              </w:rPr>
              <w:t>028-867</w:t>
            </w:r>
            <w:r>
              <w:rPr>
                <w:rFonts w:hint="default" w:ascii="Times New Roman" w:hAnsi="Times New Roman" w:eastAsia="仿宋_GB2312" w:cs="Times New Roman"/>
                <w:b w:val="0"/>
                <w:bCs w:val="0"/>
                <w:color w:val="auto"/>
                <w:sz w:val="24"/>
                <w:u w:val="none" w:color="auto"/>
                <w:lang w:val="en-US" w:eastAsia="zh-CN"/>
              </w:rPr>
              <w:t>20583</w:t>
            </w:r>
            <w:r>
              <w:rPr>
                <w:rFonts w:hint="default" w:ascii="Times New Roman" w:hAnsi="Times New Roman" w:eastAsia="仿宋_GB2312" w:cs="Times New Roman"/>
                <w:b w:val="0"/>
                <w:bCs w:val="0"/>
                <w:color w:val="auto"/>
                <w:sz w:val="24"/>
                <w:u w:val="none" w:color="auto"/>
              </w:rPr>
              <w:t>、8</w:t>
            </w:r>
            <w:r>
              <w:rPr>
                <w:rFonts w:hint="default" w:ascii="Times New Roman" w:hAnsi="Times New Roman" w:eastAsia="仿宋_GB2312" w:cs="Times New Roman"/>
                <w:b w:val="0"/>
                <w:bCs w:val="0"/>
                <w:color w:val="auto"/>
                <w:sz w:val="24"/>
                <w:u w:val="none" w:color="auto"/>
                <w:lang w:val="en-US" w:eastAsia="zh-CN"/>
              </w:rPr>
              <w:t>6639019</w:t>
            </w:r>
          </w:p>
        </w:tc>
        <w:tc>
          <w:tcPr>
            <w:tcW w:w="1248" w:type="dxa"/>
            <w:vMerge w:val="continue"/>
            <w:shd w:val="clear" w:color="auto" w:fill="auto"/>
            <w:vAlign w:val="center"/>
          </w:tcPr>
          <w:p w14:paraId="06C87512">
            <w:pPr>
              <w:spacing w:line="260" w:lineRule="exact"/>
              <w:jc w:val="left"/>
              <w:rPr>
                <w:rFonts w:hint="default" w:ascii="Times New Roman" w:hAnsi="Times New Roman" w:eastAsia="仿宋_GB2312" w:cs="Times New Roman"/>
                <w:b w:val="0"/>
                <w:bCs w:val="0"/>
                <w:color w:val="auto"/>
                <w:sz w:val="24"/>
                <w:u w:val="none" w:color="auto"/>
              </w:rPr>
            </w:pPr>
          </w:p>
        </w:tc>
      </w:tr>
      <w:tr w14:paraId="6545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798" w:type="dxa"/>
            <w:vMerge w:val="restart"/>
            <w:shd w:val="clear" w:color="auto" w:fill="auto"/>
            <w:vAlign w:val="center"/>
          </w:tcPr>
          <w:p w14:paraId="21FA974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6</w:t>
            </w:r>
          </w:p>
        </w:tc>
        <w:tc>
          <w:tcPr>
            <w:tcW w:w="1814" w:type="dxa"/>
            <w:vMerge w:val="restart"/>
            <w:shd w:val="clear" w:color="auto" w:fill="auto"/>
            <w:vAlign w:val="center"/>
          </w:tcPr>
          <w:p w14:paraId="3325DA3C">
            <w:pPr>
              <w:spacing w:line="260" w:lineRule="exact"/>
              <w:jc w:val="both"/>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kern w:val="0"/>
                <w:sz w:val="22"/>
                <w:u w:val="none" w:color="auto"/>
              </w:rPr>
              <w:t>社会民生领域技术攻关</w:t>
            </w:r>
            <w:r>
              <w:rPr>
                <w:rFonts w:hint="default" w:ascii="Times New Roman" w:hAnsi="Times New Roman" w:eastAsia="仿宋_GB2312" w:cs="Times New Roman"/>
                <w:b w:val="0"/>
                <w:bCs w:val="0"/>
                <w:color w:val="auto"/>
                <w:kern w:val="0"/>
                <w:sz w:val="22"/>
                <w:u w:val="none" w:color="auto"/>
                <w:lang w:eastAsia="zh-CN"/>
              </w:rPr>
              <w:t>项目</w:t>
            </w:r>
          </w:p>
        </w:tc>
        <w:tc>
          <w:tcPr>
            <w:tcW w:w="4390" w:type="dxa"/>
            <w:vMerge w:val="restart"/>
            <w:shd w:val="clear" w:color="auto" w:fill="auto"/>
            <w:vAlign w:val="center"/>
          </w:tcPr>
          <w:p w14:paraId="7ECDEF24">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该类项目主要聚焦社会民生领域相关技术攻关，包括：农资环领域技术攻关、农村科技服务项目补助、农业科技服务体系建设、农业特色优势产业转型升级技术集成创新与示范、找矿突破战略行动重大技术攻关</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揭榜挂帅</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、防灾减灾</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揭榜挂帅</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、平安四川和科技兴警、军民科技协同攻关项目等。</w:t>
            </w:r>
          </w:p>
          <w:p w14:paraId="583DD767">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适用于具有独立法人资格的科研院所、高等院校和其他具备创新能力的企业及单位。（详见当年申报通知）</w:t>
            </w:r>
          </w:p>
        </w:tc>
        <w:tc>
          <w:tcPr>
            <w:tcW w:w="2527" w:type="dxa"/>
            <w:vMerge w:val="restart"/>
            <w:shd w:val="clear" w:color="auto" w:fill="auto"/>
            <w:vAlign w:val="center"/>
          </w:tcPr>
          <w:p w14:paraId="22E42636">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参考</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四川省科学技术厅关于发布2025年度农资环领域重点研发计划项目申报指南的通知</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https://kjt.sc.gov.cn//kjt/gstz/2025/7/18/0359575e767245e8b9a967c3ad7abac4.shtml</w:t>
            </w:r>
            <w:r>
              <w:rPr>
                <w:rFonts w:hint="default" w:ascii="Times New Roman" w:hAnsi="Times New Roman" w:eastAsia="仿宋_GB2312" w:cs="Times New Roman"/>
                <w:b w:val="0"/>
                <w:bCs w:val="0"/>
                <w:color w:val="auto"/>
                <w:sz w:val="24"/>
                <w:u w:val="none" w:color="auto"/>
              </w:rPr>
              <w:br w:type="textWrapping"/>
            </w:r>
            <w:r>
              <w:rPr>
                <w:rFonts w:hint="default" w:ascii="Times New Roman" w:hAnsi="Times New Roman" w:eastAsia="仿宋_GB2312" w:cs="Times New Roman"/>
                <w:b w:val="0"/>
                <w:bCs w:val="0"/>
                <w:color w:val="auto"/>
                <w:sz w:val="24"/>
                <w:u w:val="none" w:color="auto"/>
              </w:rPr>
              <w:t>各类项目详见科技厅官网通知。</w:t>
            </w:r>
          </w:p>
        </w:tc>
        <w:tc>
          <w:tcPr>
            <w:tcW w:w="2734" w:type="dxa"/>
            <w:shd w:val="clear" w:color="auto" w:fill="auto"/>
            <w:vAlign w:val="center"/>
          </w:tcPr>
          <w:p w14:paraId="5FE03596">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lang w:val="en-US" w:eastAsia="zh-CN"/>
              </w:rPr>
              <w:t>1.</w:t>
            </w:r>
            <w:r>
              <w:rPr>
                <w:rFonts w:hint="default" w:ascii="Times New Roman" w:hAnsi="Times New Roman" w:eastAsia="仿宋_GB2312" w:cs="Times New Roman"/>
                <w:b w:val="0"/>
                <w:bCs w:val="0"/>
                <w:color w:val="auto"/>
                <w:sz w:val="24"/>
                <w:u w:val="none" w:color="auto"/>
              </w:rPr>
              <w:t>农业、</w:t>
            </w:r>
            <w:r>
              <w:rPr>
                <w:rFonts w:hint="default" w:ascii="Times New Roman" w:hAnsi="Times New Roman" w:eastAsia="仿宋_GB2312" w:cs="Times New Roman"/>
                <w:b w:val="0"/>
                <w:bCs w:val="0"/>
                <w:color w:val="auto"/>
                <w:sz w:val="24"/>
                <w:u w:val="none" w:color="auto"/>
                <w:lang w:eastAsia="zh-CN"/>
              </w:rPr>
              <w:t>环境保护、</w:t>
            </w:r>
            <w:r>
              <w:rPr>
                <w:rFonts w:hint="default" w:ascii="Times New Roman" w:hAnsi="Times New Roman" w:eastAsia="仿宋_GB2312" w:cs="Times New Roman"/>
                <w:b w:val="0"/>
                <w:bCs w:val="0"/>
                <w:color w:val="auto"/>
                <w:sz w:val="24"/>
                <w:u w:val="none" w:color="auto"/>
              </w:rPr>
              <w:t>防灾减灾相关项目</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农资环处</w:t>
            </w:r>
            <w:r>
              <w:rPr>
                <w:rFonts w:hint="default" w:ascii="Times New Roman" w:hAnsi="Times New Roman" w:eastAsia="仿宋_GB2312" w:cs="Times New Roman"/>
                <w:b w:val="0"/>
                <w:bCs w:val="0"/>
                <w:color w:val="auto"/>
                <w:sz w:val="24"/>
                <w:u w:val="none" w:color="auto"/>
                <w:lang w:eastAsia="zh-CN"/>
              </w:rPr>
              <w:t>）</w:t>
            </w:r>
          </w:p>
        </w:tc>
        <w:tc>
          <w:tcPr>
            <w:tcW w:w="1645" w:type="dxa"/>
            <w:vAlign w:val="center"/>
          </w:tcPr>
          <w:p w14:paraId="5E663FF5">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028-86781773</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86711518</w:t>
            </w:r>
          </w:p>
        </w:tc>
        <w:tc>
          <w:tcPr>
            <w:tcW w:w="1248" w:type="dxa"/>
            <w:vMerge w:val="restart"/>
            <w:shd w:val="clear" w:color="auto" w:fill="auto"/>
            <w:vAlign w:val="center"/>
          </w:tcPr>
          <w:p w14:paraId="41B1C68F">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相关项目处室不定期发布申报指南。</w:t>
            </w:r>
          </w:p>
        </w:tc>
      </w:tr>
      <w:tr w14:paraId="1C94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98" w:type="dxa"/>
            <w:vMerge w:val="continue"/>
            <w:shd w:val="clear" w:color="auto" w:fill="auto"/>
            <w:vAlign w:val="center"/>
          </w:tcPr>
          <w:p w14:paraId="1687E1C0">
            <w:pPr>
              <w:spacing w:line="260" w:lineRule="exact"/>
              <w:jc w:val="left"/>
              <w:rPr>
                <w:rFonts w:hint="default" w:ascii="Times New Roman" w:hAnsi="Times New Roman" w:eastAsia="仿宋_GB2312" w:cs="Times New Roman"/>
                <w:b w:val="0"/>
                <w:bCs w:val="0"/>
                <w:color w:val="auto"/>
                <w:u w:val="none" w:color="auto"/>
              </w:rPr>
            </w:pPr>
          </w:p>
        </w:tc>
        <w:tc>
          <w:tcPr>
            <w:tcW w:w="1814" w:type="dxa"/>
            <w:vMerge w:val="continue"/>
            <w:shd w:val="clear" w:color="auto" w:fill="auto"/>
            <w:vAlign w:val="center"/>
          </w:tcPr>
          <w:p w14:paraId="401E3F98">
            <w:pPr>
              <w:spacing w:line="260" w:lineRule="exact"/>
              <w:jc w:val="left"/>
              <w:rPr>
                <w:rFonts w:hint="default" w:ascii="Times New Roman" w:hAnsi="Times New Roman" w:eastAsia="仿宋_GB2312" w:cs="Times New Roman"/>
                <w:b w:val="0"/>
                <w:bCs w:val="0"/>
                <w:color w:val="auto"/>
                <w:u w:val="none" w:color="auto"/>
              </w:rPr>
            </w:pPr>
          </w:p>
        </w:tc>
        <w:tc>
          <w:tcPr>
            <w:tcW w:w="4390" w:type="dxa"/>
            <w:vMerge w:val="continue"/>
            <w:shd w:val="clear" w:color="auto" w:fill="auto"/>
            <w:vAlign w:val="center"/>
          </w:tcPr>
          <w:p w14:paraId="2BF4F9DE">
            <w:pPr>
              <w:spacing w:line="260" w:lineRule="exact"/>
              <w:jc w:val="left"/>
              <w:rPr>
                <w:rFonts w:hint="default" w:ascii="Times New Roman" w:hAnsi="Times New Roman" w:eastAsia="仿宋_GB2312" w:cs="Times New Roman"/>
                <w:b w:val="0"/>
                <w:bCs w:val="0"/>
                <w:color w:val="auto"/>
                <w:u w:val="none" w:color="auto"/>
              </w:rPr>
            </w:pPr>
          </w:p>
        </w:tc>
        <w:tc>
          <w:tcPr>
            <w:tcW w:w="2527" w:type="dxa"/>
            <w:vMerge w:val="continue"/>
            <w:shd w:val="clear" w:color="auto" w:fill="auto"/>
            <w:vAlign w:val="center"/>
          </w:tcPr>
          <w:p w14:paraId="0F2C73C2">
            <w:pPr>
              <w:spacing w:line="260" w:lineRule="exact"/>
              <w:jc w:val="left"/>
              <w:rPr>
                <w:rFonts w:hint="default" w:ascii="Times New Roman" w:hAnsi="Times New Roman" w:eastAsia="仿宋_GB2312" w:cs="Times New Roman"/>
                <w:b w:val="0"/>
                <w:bCs w:val="0"/>
                <w:color w:val="auto"/>
                <w:u w:val="none" w:color="auto"/>
              </w:rPr>
            </w:pPr>
          </w:p>
        </w:tc>
        <w:tc>
          <w:tcPr>
            <w:tcW w:w="2734" w:type="dxa"/>
            <w:shd w:val="clear" w:color="auto" w:fill="auto"/>
            <w:vAlign w:val="center"/>
          </w:tcPr>
          <w:p w14:paraId="64AD0599">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lang w:val="en-US" w:eastAsia="zh-CN"/>
              </w:rPr>
              <w:t>2.</w:t>
            </w:r>
            <w:r>
              <w:rPr>
                <w:rFonts w:hint="default" w:ascii="Times New Roman" w:hAnsi="Times New Roman" w:eastAsia="仿宋_GB2312" w:cs="Times New Roman"/>
                <w:b w:val="0"/>
                <w:bCs w:val="0"/>
                <w:color w:val="auto"/>
                <w:sz w:val="24"/>
                <w:u w:val="none" w:color="auto"/>
              </w:rPr>
              <w:t>平安四川和科技兴警项目</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民生处</w:t>
            </w:r>
            <w:r>
              <w:rPr>
                <w:rFonts w:hint="default" w:ascii="Times New Roman" w:hAnsi="Times New Roman" w:eastAsia="仿宋_GB2312" w:cs="Times New Roman"/>
                <w:b w:val="0"/>
                <w:bCs w:val="0"/>
                <w:color w:val="auto"/>
                <w:sz w:val="24"/>
                <w:u w:val="none" w:color="auto"/>
                <w:lang w:eastAsia="zh-CN"/>
              </w:rPr>
              <w:t>）</w:t>
            </w:r>
          </w:p>
        </w:tc>
        <w:tc>
          <w:tcPr>
            <w:tcW w:w="1645" w:type="dxa"/>
            <w:vAlign w:val="center"/>
          </w:tcPr>
          <w:p w14:paraId="2AF42ECE">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028-86674945</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86723142</w:t>
            </w:r>
          </w:p>
        </w:tc>
        <w:tc>
          <w:tcPr>
            <w:tcW w:w="1248" w:type="dxa"/>
            <w:vMerge w:val="continue"/>
            <w:shd w:val="clear" w:color="auto" w:fill="auto"/>
            <w:vAlign w:val="center"/>
          </w:tcPr>
          <w:p w14:paraId="7FA8ABBF">
            <w:pPr>
              <w:spacing w:line="260" w:lineRule="exact"/>
              <w:jc w:val="left"/>
              <w:rPr>
                <w:rFonts w:hint="default" w:ascii="Times New Roman" w:hAnsi="Times New Roman" w:eastAsia="仿宋_GB2312" w:cs="Times New Roman"/>
                <w:b w:val="0"/>
                <w:bCs w:val="0"/>
                <w:color w:val="auto"/>
                <w:sz w:val="24"/>
                <w:u w:val="none" w:color="auto"/>
              </w:rPr>
            </w:pPr>
          </w:p>
        </w:tc>
      </w:tr>
      <w:tr w14:paraId="212D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98" w:type="dxa"/>
            <w:vMerge w:val="continue"/>
            <w:shd w:val="clear" w:color="auto" w:fill="auto"/>
            <w:vAlign w:val="center"/>
          </w:tcPr>
          <w:p w14:paraId="2F6562D8">
            <w:pPr>
              <w:spacing w:line="260" w:lineRule="exact"/>
              <w:jc w:val="left"/>
              <w:rPr>
                <w:rFonts w:hint="default" w:ascii="Times New Roman" w:hAnsi="Times New Roman" w:eastAsia="仿宋_GB2312" w:cs="Times New Roman"/>
                <w:b w:val="0"/>
                <w:bCs w:val="0"/>
                <w:color w:val="auto"/>
                <w:sz w:val="24"/>
                <w:u w:val="none" w:color="auto"/>
              </w:rPr>
            </w:pPr>
          </w:p>
        </w:tc>
        <w:tc>
          <w:tcPr>
            <w:tcW w:w="1814" w:type="dxa"/>
            <w:vMerge w:val="continue"/>
            <w:shd w:val="clear" w:color="auto" w:fill="auto"/>
            <w:vAlign w:val="center"/>
          </w:tcPr>
          <w:p w14:paraId="5D46EFD2">
            <w:pPr>
              <w:spacing w:line="260" w:lineRule="exact"/>
              <w:jc w:val="left"/>
              <w:rPr>
                <w:rFonts w:hint="default" w:ascii="Times New Roman" w:hAnsi="Times New Roman" w:eastAsia="仿宋_GB2312" w:cs="Times New Roman"/>
                <w:b w:val="0"/>
                <w:bCs w:val="0"/>
                <w:color w:val="auto"/>
                <w:sz w:val="24"/>
                <w:u w:val="none" w:color="auto"/>
              </w:rPr>
            </w:pPr>
          </w:p>
        </w:tc>
        <w:tc>
          <w:tcPr>
            <w:tcW w:w="4390" w:type="dxa"/>
            <w:vMerge w:val="continue"/>
            <w:shd w:val="clear" w:color="auto" w:fill="auto"/>
            <w:vAlign w:val="center"/>
          </w:tcPr>
          <w:p w14:paraId="262BDCEB">
            <w:pPr>
              <w:spacing w:line="260" w:lineRule="exact"/>
              <w:jc w:val="left"/>
              <w:rPr>
                <w:rFonts w:hint="default" w:ascii="Times New Roman" w:hAnsi="Times New Roman" w:eastAsia="仿宋_GB2312" w:cs="Times New Roman"/>
                <w:b w:val="0"/>
                <w:bCs w:val="0"/>
                <w:color w:val="auto"/>
                <w:sz w:val="24"/>
                <w:u w:val="none" w:color="auto"/>
              </w:rPr>
            </w:pPr>
          </w:p>
        </w:tc>
        <w:tc>
          <w:tcPr>
            <w:tcW w:w="2527" w:type="dxa"/>
            <w:vMerge w:val="continue"/>
            <w:shd w:val="clear" w:color="auto" w:fill="auto"/>
            <w:vAlign w:val="center"/>
          </w:tcPr>
          <w:p w14:paraId="05AF3D57">
            <w:pPr>
              <w:spacing w:line="260" w:lineRule="exact"/>
              <w:jc w:val="left"/>
              <w:rPr>
                <w:rFonts w:hint="default" w:ascii="Times New Roman" w:hAnsi="Times New Roman" w:eastAsia="仿宋_GB2312" w:cs="Times New Roman"/>
                <w:b w:val="0"/>
                <w:bCs w:val="0"/>
                <w:color w:val="auto"/>
                <w:sz w:val="24"/>
                <w:u w:val="none" w:color="auto"/>
              </w:rPr>
            </w:pPr>
          </w:p>
        </w:tc>
        <w:tc>
          <w:tcPr>
            <w:tcW w:w="2734" w:type="dxa"/>
            <w:shd w:val="clear" w:color="auto" w:fill="auto"/>
            <w:vAlign w:val="center"/>
          </w:tcPr>
          <w:p w14:paraId="029815D3">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lang w:val="en-US" w:eastAsia="zh-CN"/>
              </w:rPr>
              <w:t>3.</w:t>
            </w:r>
            <w:r>
              <w:rPr>
                <w:rFonts w:hint="default" w:ascii="Times New Roman" w:hAnsi="Times New Roman" w:eastAsia="仿宋_GB2312" w:cs="Times New Roman"/>
                <w:b w:val="0"/>
                <w:bCs w:val="0"/>
                <w:color w:val="auto"/>
                <w:sz w:val="24"/>
                <w:u w:val="none" w:color="auto"/>
              </w:rPr>
              <w:t>军民科技协同攻关项目</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产业处</w:t>
            </w:r>
            <w:r>
              <w:rPr>
                <w:rFonts w:hint="default" w:ascii="Times New Roman" w:hAnsi="Times New Roman" w:eastAsia="仿宋_GB2312" w:cs="Times New Roman"/>
                <w:b w:val="0"/>
                <w:bCs w:val="0"/>
                <w:color w:val="auto"/>
                <w:sz w:val="24"/>
                <w:u w:val="none" w:color="auto"/>
                <w:lang w:eastAsia="zh-CN"/>
              </w:rPr>
              <w:t>）</w:t>
            </w:r>
          </w:p>
        </w:tc>
        <w:tc>
          <w:tcPr>
            <w:tcW w:w="1645" w:type="dxa"/>
            <w:vAlign w:val="center"/>
          </w:tcPr>
          <w:p w14:paraId="2F92C1BF">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028-86668923</w:t>
            </w:r>
          </w:p>
        </w:tc>
        <w:tc>
          <w:tcPr>
            <w:tcW w:w="1248" w:type="dxa"/>
            <w:vMerge w:val="continue"/>
            <w:shd w:val="clear" w:color="auto" w:fill="auto"/>
            <w:vAlign w:val="center"/>
          </w:tcPr>
          <w:p w14:paraId="39D8EA7E">
            <w:pPr>
              <w:spacing w:line="260" w:lineRule="exact"/>
              <w:jc w:val="left"/>
              <w:rPr>
                <w:rFonts w:hint="default" w:ascii="Times New Roman" w:hAnsi="Times New Roman" w:eastAsia="仿宋_GB2312" w:cs="Times New Roman"/>
                <w:b w:val="0"/>
                <w:bCs w:val="0"/>
                <w:color w:val="auto"/>
                <w:sz w:val="24"/>
                <w:u w:val="none" w:color="auto"/>
              </w:rPr>
            </w:pPr>
          </w:p>
        </w:tc>
      </w:tr>
      <w:tr w14:paraId="4F64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jc w:val="center"/>
        </w:trPr>
        <w:tc>
          <w:tcPr>
            <w:tcW w:w="798" w:type="dxa"/>
            <w:shd w:val="clear" w:color="auto" w:fill="auto"/>
            <w:vAlign w:val="center"/>
          </w:tcPr>
          <w:p w14:paraId="60FBC31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7</w:t>
            </w:r>
          </w:p>
        </w:tc>
        <w:tc>
          <w:tcPr>
            <w:tcW w:w="1814" w:type="dxa"/>
            <w:shd w:val="clear" w:color="auto" w:fill="auto"/>
            <w:vAlign w:val="center"/>
          </w:tcPr>
          <w:p w14:paraId="60BBEF74">
            <w:pPr>
              <w:widowControl/>
              <w:adjustRightInd w:val="0"/>
              <w:snapToGrid w:val="0"/>
              <w:jc w:val="left"/>
              <w:rPr>
                <w:rFonts w:hint="default" w:ascii="Times New Roman" w:hAnsi="Times New Roman" w:eastAsia="仿宋_GB2312" w:cs="Times New Roman"/>
                <w:b w:val="0"/>
                <w:bCs w:val="0"/>
                <w:color w:val="auto"/>
                <w:kern w:val="0"/>
                <w:sz w:val="24"/>
                <w:szCs w:val="24"/>
                <w:u w:val="none" w:color="auto"/>
                <w:lang w:val="en-US" w:eastAsia="zh-CN" w:bidi="ar-SA"/>
              </w:rPr>
            </w:pPr>
            <w:r>
              <w:rPr>
                <w:rFonts w:hint="default" w:ascii="Times New Roman" w:hAnsi="Times New Roman" w:eastAsia="仿宋_GB2312" w:cs="Times New Roman"/>
                <w:b w:val="0"/>
                <w:bCs w:val="0"/>
                <w:color w:val="auto"/>
                <w:kern w:val="0"/>
                <w:sz w:val="24"/>
                <w:u w:val="none" w:color="auto"/>
              </w:rPr>
              <w:t>科技金融</w:t>
            </w:r>
            <w:r>
              <w:rPr>
                <w:rFonts w:hint="default" w:ascii="Times New Roman" w:hAnsi="Times New Roman" w:eastAsia="仿宋_GB2312" w:cs="Times New Roman"/>
                <w:b w:val="0"/>
                <w:bCs w:val="0"/>
                <w:color w:val="auto"/>
                <w:kern w:val="0"/>
                <w:sz w:val="24"/>
                <w:u w:val="none" w:color="auto"/>
                <w:lang w:eastAsia="zh-CN"/>
              </w:rPr>
              <w:t>项目</w:t>
            </w:r>
          </w:p>
        </w:tc>
        <w:tc>
          <w:tcPr>
            <w:tcW w:w="4390" w:type="dxa"/>
            <w:shd w:val="clear" w:color="auto" w:fill="auto"/>
            <w:vAlign w:val="center"/>
          </w:tcPr>
          <w:p w14:paraId="730E482D">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该项目为融资成本补助项目，主要支持通过</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天府科创贷</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获得融资支持，并一定时期内按期结清贷款的企业。</w:t>
            </w:r>
          </w:p>
        </w:tc>
        <w:tc>
          <w:tcPr>
            <w:tcW w:w="2527" w:type="dxa"/>
            <w:shd w:val="clear" w:color="auto" w:fill="auto"/>
            <w:vAlign w:val="center"/>
          </w:tcPr>
          <w:p w14:paraId="08626951">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参考</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四川省科学技术厅关于开展2025年</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天府科创贷</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融资成本补助申请工作的通知</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https://kjt.sc.gov.cn//kjt/gstz/2025/5/12/15e44be7ab3e45c89f03923efa8af12c.shtml</w:t>
            </w:r>
          </w:p>
        </w:tc>
        <w:tc>
          <w:tcPr>
            <w:tcW w:w="2734" w:type="dxa"/>
            <w:shd w:val="clear" w:color="auto" w:fill="auto"/>
            <w:vAlign w:val="center"/>
          </w:tcPr>
          <w:p w14:paraId="2789D755">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成果处</w:t>
            </w:r>
          </w:p>
        </w:tc>
        <w:tc>
          <w:tcPr>
            <w:tcW w:w="1645" w:type="dxa"/>
            <w:vAlign w:val="center"/>
          </w:tcPr>
          <w:p w14:paraId="29A725EC">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028-84446659</w:t>
            </w:r>
          </w:p>
        </w:tc>
        <w:tc>
          <w:tcPr>
            <w:tcW w:w="1248" w:type="dxa"/>
            <w:shd w:val="clear" w:color="auto" w:fill="auto"/>
            <w:vAlign w:val="center"/>
          </w:tcPr>
          <w:p w14:paraId="5B84C7AA">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每年定期组织申请。</w:t>
            </w:r>
          </w:p>
        </w:tc>
      </w:tr>
      <w:tr w14:paraId="2B36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98" w:type="dxa"/>
            <w:shd w:val="clear" w:color="auto" w:fill="auto"/>
            <w:vAlign w:val="center"/>
          </w:tcPr>
          <w:p w14:paraId="72018BF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8</w:t>
            </w:r>
          </w:p>
        </w:tc>
        <w:tc>
          <w:tcPr>
            <w:tcW w:w="1814" w:type="dxa"/>
            <w:shd w:val="clear" w:color="auto" w:fill="auto"/>
            <w:vAlign w:val="center"/>
          </w:tcPr>
          <w:p w14:paraId="13FE43D4">
            <w:pPr>
              <w:widowControl/>
              <w:adjustRightInd w:val="0"/>
              <w:snapToGrid w:val="0"/>
              <w:jc w:val="left"/>
              <w:rPr>
                <w:rFonts w:hint="default" w:ascii="Times New Roman" w:hAnsi="Times New Roman" w:eastAsia="仿宋_GB2312" w:cs="Times New Roman"/>
                <w:b w:val="0"/>
                <w:bCs w:val="0"/>
                <w:color w:val="auto"/>
                <w:kern w:val="0"/>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中试项目资金</w:t>
            </w:r>
          </w:p>
        </w:tc>
        <w:tc>
          <w:tcPr>
            <w:tcW w:w="4390" w:type="dxa"/>
            <w:shd w:val="clear" w:color="auto" w:fill="auto"/>
            <w:vAlign w:val="center"/>
          </w:tcPr>
          <w:p w14:paraId="607CFBE9">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该资金根据省政府工作报告关于</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组建省级中试平台公司</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的部署安排，支持省中试公司发展和中试费用分担。</w:t>
            </w:r>
          </w:p>
        </w:tc>
        <w:tc>
          <w:tcPr>
            <w:tcW w:w="2527" w:type="dxa"/>
            <w:shd w:val="clear" w:color="auto" w:fill="auto"/>
            <w:vAlign w:val="center"/>
          </w:tcPr>
          <w:p w14:paraId="6FCAA91A">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p>
        </w:tc>
        <w:tc>
          <w:tcPr>
            <w:tcW w:w="2734" w:type="dxa"/>
            <w:shd w:val="clear" w:color="auto" w:fill="auto"/>
            <w:vAlign w:val="center"/>
          </w:tcPr>
          <w:p w14:paraId="1E0AF023">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成果处</w:t>
            </w:r>
          </w:p>
        </w:tc>
        <w:tc>
          <w:tcPr>
            <w:tcW w:w="1645" w:type="dxa"/>
            <w:vAlign w:val="center"/>
          </w:tcPr>
          <w:p w14:paraId="647B546D">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028-86712007</w:t>
            </w:r>
          </w:p>
        </w:tc>
        <w:tc>
          <w:tcPr>
            <w:tcW w:w="1248" w:type="dxa"/>
            <w:shd w:val="clear" w:color="auto" w:fill="auto"/>
            <w:vAlign w:val="center"/>
          </w:tcPr>
          <w:p w14:paraId="2128AB95">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每年不定期组织申报评审。</w:t>
            </w:r>
          </w:p>
        </w:tc>
      </w:tr>
      <w:tr w14:paraId="5C98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jc w:val="center"/>
        </w:trPr>
        <w:tc>
          <w:tcPr>
            <w:tcW w:w="798" w:type="dxa"/>
            <w:shd w:val="clear" w:color="auto" w:fill="auto"/>
            <w:vAlign w:val="center"/>
          </w:tcPr>
          <w:p w14:paraId="0A84A15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9</w:t>
            </w:r>
          </w:p>
        </w:tc>
        <w:tc>
          <w:tcPr>
            <w:tcW w:w="1814" w:type="dxa"/>
            <w:shd w:val="clear" w:color="auto" w:fill="auto"/>
            <w:vAlign w:val="center"/>
          </w:tcPr>
          <w:p w14:paraId="357A2730">
            <w:pPr>
              <w:widowControl/>
              <w:adjustRightInd w:val="0"/>
              <w:snapToGrid w:val="0"/>
              <w:jc w:val="both"/>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双向揭榜挂帅</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项目</w:t>
            </w:r>
          </w:p>
        </w:tc>
        <w:tc>
          <w:tcPr>
            <w:tcW w:w="4390" w:type="dxa"/>
            <w:shd w:val="clear" w:color="auto" w:fill="auto"/>
            <w:vAlign w:val="center"/>
          </w:tcPr>
          <w:p w14:paraId="56BE9355">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该项目根据省政府办公厅印发的《实施</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双向揭榜挂帅</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推动成都科创生态岛</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四链</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融合先行先试工作方案》（川办发〔2024〕52号），由四川省、成都市(本级)、四川天府新区、成都高新区按照比例共同组建成都科创生态岛</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双向揭榜挂帅</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项目支持资金，引导构建</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政府资助＋基金投资＋银行融资</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全生命周期资金服务体系，省、市资金通过转移支付方式下达四川天府新区。</w:t>
            </w:r>
          </w:p>
          <w:p w14:paraId="09BCF424">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适用于省内外高等学校、科研院所、企业及有关单位。（详见当年申报通知）</w:t>
            </w:r>
          </w:p>
        </w:tc>
        <w:tc>
          <w:tcPr>
            <w:tcW w:w="2527" w:type="dxa"/>
            <w:shd w:val="clear" w:color="auto" w:fill="auto"/>
            <w:vAlign w:val="center"/>
          </w:tcPr>
          <w:p w14:paraId="7664E795">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参考</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四川省科学技术厅关于开展2025年第四批</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成果找市场</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揭榜挂帅项目揭榜工作的通知</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https://kjt.sc.gov.cn//kjt/gstz/2025/11/21/10db6b558f46490396e5ab087fe734f6.shtml</w:t>
            </w:r>
          </w:p>
        </w:tc>
        <w:tc>
          <w:tcPr>
            <w:tcW w:w="2734" w:type="dxa"/>
            <w:shd w:val="clear" w:color="auto" w:fill="auto"/>
            <w:vAlign w:val="center"/>
          </w:tcPr>
          <w:p w14:paraId="65648563">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成果处</w:t>
            </w:r>
          </w:p>
        </w:tc>
        <w:tc>
          <w:tcPr>
            <w:tcW w:w="1645" w:type="dxa"/>
            <w:vAlign w:val="center"/>
          </w:tcPr>
          <w:p w14:paraId="72DAAEBA">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028-86712007</w:t>
            </w:r>
          </w:p>
        </w:tc>
        <w:tc>
          <w:tcPr>
            <w:tcW w:w="1248" w:type="dxa"/>
            <w:shd w:val="clear" w:color="auto" w:fill="auto"/>
            <w:vAlign w:val="center"/>
          </w:tcPr>
          <w:p w14:paraId="2893DF17">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每年不定期发布榜单。</w:t>
            </w:r>
          </w:p>
        </w:tc>
      </w:tr>
      <w:tr w14:paraId="0BBB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98" w:type="dxa"/>
            <w:vMerge w:val="restart"/>
            <w:shd w:val="clear" w:color="auto" w:fill="auto"/>
            <w:vAlign w:val="center"/>
          </w:tcPr>
          <w:p w14:paraId="619E983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10</w:t>
            </w:r>
          </w:p>
        </w:tc>
        <w:tc>
          <w:tcPr>
            <w:tcW w:w="1814" w:type="dxa"/>
            <w:vMerge w:val="restart"/>
            <w:shd w:val="clear" w:color="auto" w:fill="auto"/>
            <w:vAlign w:val="center"/>
          </w:tcPr>
          <w:p w14:paraId="0486DAEF">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科技创新平台项目</w:t>
            </w:r>
          </w:p>
        </w:tc>
        <w:tc>
          <w:tcPr>
            <w:tcW w:w="4390" w:type="dxa"/>
            <w:shd w:val="clear" w:color="auto" w:fill="auto"/>
            <w:vAlign w:val="center"/>
          </w:tcPr>
          <w:p w14:paraId="5C526280">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该项目主要支持科技创新平台建设，包括：省属科研院所基本科研业务费、省属科研院所科研条件建设资金等</w:t>
            </w:r>
            <w:r>
              <w:rPr>
                <w:rFonts w:hint="default" w:ascii="Times New Roman" w:hAnsi="Times New Roman" w:eastAsia="仿宋_GB2312" w:cs="Times New Roman"/>
                <w:b w:val="0"/>
                <w:bCs w:val="0"/>
                <w:color w:val="auto"/>
                <w:sz w:val="24"/>
                <w:u w:val="none" w:color="auto"/>
                <w:lang w:eastAsia="zh-CN"/>
              </w:rPr>
              <w:t>。</w:t>
            </w:r>
          </w:p>
        </w:tc>
        <w:tc>
          <w:tcPr>
            <w:tcW w:w="2527" w:type="dxa"/>
            <w:vMerge w:val="restart"/>
            <w:shd w:val="clear" w:color="auto" w:fill="auto"/>
            <w:vAlign w:val="center"/>
          </w:tcPr>
          <w:p w14:paraId="106D38FB">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p>
        </w:tc>
        <w:tc>
          <w:tcPr>
            <w:tcW w:w="2734" w:type="dxa"/>
            <w:shd w:val="clear" w:color="auto" w:fill="auto"/>
            <w:vAlign w:val="center"/>
          </w:tcPr>
          <w:p w14:paraId="6326D52B">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lang w:eastAsia="zh-CN"/>
              </w:rPr>
              <w:t>体系处</w:t>
            </w:r>
          </w:p>
        </w:tc>
        <w:tc>
          <w:tcPr>
            <w:tcW w:w="1645" w:type="dxa"/>
            <w:vAlign w:val="center"/>
          </w:tcPr>
          <w:p w14:paraId="308DCE29">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028-86668672、86631802</w:t>
            </w:r>
          </w:p>
        </w:tc>
        <w:tc>
          <w:tcPr>
            <w:tcW w:w="1248" w:type="dxa"/>
            <w:vMerge w:val="restart"/>
            <w:shd w:val="clear" w:color="auto" w:fill="auto"/>
            <w:vAlign w:val="center"/>
          </w:tcPr>
          <w:p w14:paraId="58A49450">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每年定向支持</w:t>
            </w:r>
            <w:r>
              <w:rPr>
                <w:rFonts w:hint="default" w:ascii="Times New Roman" w:hAnsi="Times New Roman" w:eastAsia="仿宋_GB2312" w:cs="Times New Roman"/>
                <w:b w:val="0"/>
                <w:bCs w:val="0"/>
                <w:color w:val="auto"/>
                <w:sz w:val="24"/>
                <w:u w:val="none" w:color="auto"/>
                <w:lang w:eastAsia="zh-CN"/>
              </w:rPr>
              <w:t>。</w:t>
            </w:r>
          </w:p>
        </w:tc>
      </w:tr>
      <w:tr w14:paraId="66F4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98" w:type="dxa"/>
            <w:vMerge w:val="continue"/>
            <w:shd w:val="clear" w:color="auto" w:fill="auto"/>
            <w:vAlign w:val="center"/>
          </w:tcPr>
          <w:p w14:paraId="09DE41E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p>
        </w:tc>
        <w:tc>
          <w:tcPr>
            <w:tcW w:w="1814" w:type="dxa"/>
            <w:vMerge w:val="continue"/>
            <w:shd w:val="clear" w:color="auto" w:fill="auto"/>
            <w:vAlign w:val="center"/>
          </w:tcPr>
          <w:p w14:paraId="108DFB4E">
            <w:pPr>
              <w:spacing w:line="260" w:lineRule="exact"/>
              <w:rPr>
                <w:rFonts w:hint="default" w:ascii="Times New Roman" w:hAnsi="Times New Roman" w:eastAsia="仿宋_GB2312" w:cs="Times New Roman"/>
                <w:b w:val="0"/>
                <w:bCs w:val="0"/>
                <w:color w:val="auto"/>
                <w:sz w:val="24"/>
                <w:u w:val="none" w:color="auto"/>
              </w:rPr>
            </w:pPr>
          </w:p>
        </w:tc>
        <w:tc>
          <w:tcPr>
            <w:tcW w:w="4390" w:type="dxa"/>
            <w:shd w:val="clear" w:color="auto" w:fill="auto"/>
            <w:vAlign w:val="center"/>
          </w:tcPr>
          <w:p w14:paraId="7B5D4F61">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该项目主要支持科技创新平台建设，包括：</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一带一路</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国际技术转移中心、</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一带一路</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联合实验室。</w:t>
            </w:r>
          </w:p>
        </w:tc>
        <w:tc>
          <w:tcPr>
            <w:tcW w:w="2527" w:type="dxa"/>
            <w:vMerge w:val="continue"/>
            <w:shd w:val="clear" w:color="auto" w:fill="auto"/>
            <w:vAlign w:val="center"/>
          </w:tcPr>
          <w:p w14:paraId="1DF904FD">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p>
        </w:tc>
        <w:tc>
          <w:tcPr>
            <w:tcW w:w="2734" w:type="dxa"/>
            <w:shd w:val="clear" w:color="auto" w:fill="auto"/>
            <w:vAlign w:val="center"/>
          </w:tcPr>
          <w:p w14:paraId="2DD8E1A6">
            <w:pPr>
              <w:spacing w:line="260" w:lineRule="exact"/>
              <w:jc w:val="left"/>
              <w:rPr>
                <w:rFonts w:hint="default" w:ascii="Times New Roman" w:hAnsi="Times New Roman" w:eastAsia="仿宋_GB2312" w:cs="Times New Roman"/>
                <w:b w:val="0"/>
                <w:bCs w:val="0"/>
                <w:color w:val="auto"/>
                <w:sz w:val="24"/>
                <w:u w:val="none" w:color="auto"/>
                <w:lang w:val="en-US" w:eastAsia="zh-CN"/>
              </w:rPr>
            </w:pPr>
            <w:r>
              <w:rPr>
                <w:rFonts w:hint="default" w:ascii="Times New Roman" w:hAnsi="Times New Roman" w:eastAsia="仿宋_GB2312" w:cs="Times New Roman"/>
                <w:b w:val="0"/>
                <w:bCs w:val="0"/>
                <w:color w:val="auto"/>
                <w:sz w:val="24"/>
                <w:u w:val="none" w:color="auto"/>
                <w:lang w:eastAsia="zh-CN"/>
              </w:rPr>
              <w:t>合作处</w:t>
            </w:r>
          </w:p>
        </w:tc>
        <w:tc>
          <w:tcPr>
            <w:tcW w:w="1645" w:type="dxa"/>
            <w:vAlign w:val="center"/>
          </w:tcPr>
          <w:p w14:paraId="78A53876">
            <w:pPr>
              <w:spacing w:line="260" w:lineRule="exact"/>
              <w:jc w:val="left"/>
              <w:rPr>
                <w:rFonts w:hint="default" w:ascii="Times New Roman" w:hAnsi="Times New Roman" w:eastAsia="仿宋_GB2312" w:cs="Times New Roman"/>
                <w:b w:val="0"/>
                <w:bCs w:val="0"/>
                <w:color w:val="auto"/>
                <w:sz w:val="24"/>
                <w:u w:val="none" w:color="auto"/>
                <w:lang w:val="en-US" w:eastAsia="zh-CN"/>
              </w:rPr>
            </w:pPr>
            <w:r>
              <w:rPr>
                <w:rFonts w:hint="default" w:ascii="Times New Roman" w:hAnsi="Times New Roman" w:eastAsia="仿宋_GB2312" w:cs="Times New Roman"/>
                <w:b w:val="0"/>
                <w:bCs w:val="0"/>
                <w:color w:val="auto"/>
                <w:sz w:val="24"/>
                <w:u w:val="none" w:color="auto"/>
                <w:lang w:val="en-US" w:eastAsia="zh-CN"/>
              </w:rPr>
              <w:t>028-86669425</w:t>
            </w:r>
          </w:p>
        </w:tc>
        <w:tc>
          <w:tcPr>
            <w:tcW w:w="1248" w:type="dxa"/>
            <w:vMerge w:val="continue"/>
            <w:shd w:val="clear" w:color="auto" w:fill="auto"/>
            <w:vAlign w:val="center"/>
          </w:tcPr>
          <w:p w14:paraId="541C4A95">
            <w:pPr>
              <w:spacing w:line="260" w:lineRule="exact"/>
              <w:jc w:val="left"/>
              <w:rPr>
                <w:rFonts w:hint="default" w:ascii="Times New Roman" w:hAnsi="Times New Roman" w:eastAsia="仿宋_GB2312" w:cs="Times New Roman"/>
                <w:b w:val="0"/>
                <w:bCs w:val="0"/>
                <w:color w:val="auto"/>
                <w:sz w:val="24"/>
                <w:u w:val="none" w:color="auto"/>
              </w:rPr>
            </w:pPr>
          </w:p>
        </w:tc>
      </w:tr>
      <w:tr w14:paraId="3FEE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98" w:type="dxa"/>
            <w:vMerge w:val="restart"/>
            <w:shd w:val="clear" w:color="auto" w:fill="auto"/>
            <w:vAlign w:val="center"/>
          </w:tcPr>
          <w:p w14:paraId="4051BA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11</w:t>
            </w:r>
          </w:p>
        </w:tc>
        <w:tc>
          <w:tcPr>
            <w:tcW w:w="1814" w:type="dxa"/>
            <w:vMerge w:val="restart"/>
            <w:shd w:val="clear" w:color="auto" w:fill="auto"/>
            <w:vAlign w:val="center"/>
          </w:tcPr>
          <w:p w14:paraId="1D37251A">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科技人才项目</w:t>
            </w:r>
          </w:p>
        </w:tc>
        <w:tc>
          <w:tcPr>
            <w:tcW w:w="4390" w:type="dxa"/>
            <w:vMerge w:val="restart"/>
            <w:shd w:val="clear" w:color="auto" w:fill="auto"/>
            <w:vAlign w:val="center"/>
          </w:tcPr>
          <w:p w14:paraId="2B2B2304">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该项目旨在集聚引进一批发展所需的国（境）外科技人才、高级管理人才、紧缺专业人才和高水平创新团队，为科技创新和产业发展提供人才智力支撑。支持一批在川工作外籍科技人才领衔团队开展创新研发。包括国际杰青、科技英才领航工程等。</w:t>
            </w:r>
          </w:p>
          <w:p w14:paraId="1BE1CCC2">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适用条件根据不同人才项目类别而定，具体要求</w:t>
            </w:r>
            <w:r>
              <w:rPr>
                <w:rFonts w:hint="eastAsia" w:ascii="Times New Roman" w:hAnsi="Times New Roman" w:eastAsia="仿宋_GB2312" w:cs="Times New Roman"/>
                <w:b w:val="0"/>
                <w:bCs w:val="0"/>
                <w:color w:val="auto"/>
                <w:sz w:val="24"/>
                <w:u w:val="none" w:color="auto"/>
                <w:lang w:eastAsia="zh-CN"/>
              </w:rPr>
              <w:t>详见当年申报</w:t>
            </w:r>
            <w:r>
              <w:rPr>
                <w:rFonts w:hint="default" w:ascii="Times New Roman" w:hAnsi="Times New Roman" w:eastAsia="仿宋_GB2312" w:cs="Times New Roman"/>
                <w:b w:val="0"/>
                <w:bCs w:val="0"/>
                <w:color w:val="auto"/>
                <w:sz w:val="24"/>
                <w:u w:val="none" w:color="auto"/>
              </w:rPr>
              <w:t>通知。</w:t>
            </w:r>
          </w:p>
        </w:tc>
        <w:tc>
          <w:tcPr>
            <w:tcW w:w="2527" w:type="dxa"/>
            <w:vMerge w:val="restart"/>
            <w:shd w:val="clear" w:color="auto" w:fill="auto"/>
            <w:vAlign w:val="center"/>
          </w:tcPr>
          <w:p w14:paraId="0C087157">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具体要求详见科技厅官网通知。</w:t>
            </w:r>
          </w:p>
        </w:tc>
        <w:tc>
          <w:tcPr>
            <w:tcW w:w="2734" w:type="dxa"/>
            <w:shd w:val="clear" w:color="auto" w:fill="auto"/>
            <w:vAlign w:val="center"/>
          </w:tcPr>
          <w:p w14:paraId="1BF011A9">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lang w:val="en-US" w:eastAsia="zh-CN"/>
              </w:rPr>
              <w:t>1.</w:t>
            </w:r>
            <w:r>
              <w:rPr>
                <w:rFonts w:hint="default" w:ascii="Times New Roman" w:hAnsi="Times New Roman" w:eastAsia="仿宋_GB2312" w:cs="Times New Roman"/>
                <w:b w:val="0"/>
                <w:bCs w:val="0"/>
                <w:color w:val="auto"/>
                <w:sz w:val="24"/>
                <w:u w:val="none" w:color="auto"/>
              </w:rPr>
              <w:t>国际杰青项目</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合作处</w:t>
            </w:r>
            <w:r>
              <w:rPr>
                <w:rFonts w:hint="default" w:ascii="Times New Roman" w:hAnsi="Times New Roman" w:eastAsia="仿宋_GB2312" w:cs="Times New Roman"/>
                <w:b w:val="0"/>
                <w:bCs w:val="0"/>
                <w:color w:val="auto"/>
                <w:sz w:val="24"/>
                <w:u w:val="none" w:color="auto"/>
                <w:lang w:eastAsia="zh-CN"/>
              </w:rPr>
              <w:t>）</w:t>
            </w:r>
          </w:p>
        </w:tc>
        <w:tc>
          <w:tcPr>
            <w:tcW w:w="1645" w:type="dxa"/>
            <w:vAlign w:val="center"/>
          </w:tcPr>
          <w:p w14:paraId="5BCCEE6E">
            <w:pPr>
              <w:spacing w:line="260" w:lineRule="exact"/>
              <w:jc w:val="left"/>
              <w:rPr>
                <w:rFonts w:hint="default" w:ascii="Times New Roman" w:hAnsi="Times New Roman" w:eastAsia="仿宋_GB2312" w:cs="Times New Roman"/>
                <w:b w:val="0"/>
                <w:bCs w:val="0"/>
                <w:color w:val="auto"/>
                <w:sz w:val="24"/>
                <w:u w:val="none" w:color="auto"/>
              </w:rPr>
            </w:pPr>
          </w:p>
          <w:p w14:paraId="5372AD14">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028-86668672</w:t>
            </w:r>
          </w:p>
        </w:tc>
        <w:tc>
          <w:tcPr>
            <w:tcW w:w="1248" w:type="dxa"/>
            <w:vMerge w:val="restart"/>
            <w:shd w:val="clear" w:color="auto" w:fill="auto"/>
            <w:vAlign w:val="center"/>
          </w:tcPr>
          <w:p w14:paraId="01662524">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相关项目处室不定期发布申报</w:t>
            </w:r>
            <w:r>
              <w:rPr>
                <w:rFonts w:hint="eastAsia" w:ascii="Times New Roman" w:hAnsi="Times New Roman" w:eastAsia="仿宋_GB2312" w:cs="Times New Roman"/>
                <w:b w:val="0"/>
                <w:bCs w:val="0"/>
                <w:color w:val="auto"/>
                <w:sz w:val="24"/>
                <w:u w:val="none" w:color="auto"/>
                <w:lang w:eastAsia="zh-CN"/>
              </w:rPr>
              <w:t>通知</w:t>
            </w:r>
            <w:r>
              <w:rPr>
                <w:rFonts w:hint="default" w:ascii="Times New Roman" w:hAnsi="Times New Roman" w:eastAsia="仿宋_GB2312" w:cs="Times New Roman"/>
                <w:b w:val="0"/>
                <w:bCs w:val="0"/>
                <w:color w:val="auto"/>
                <w:sz w:val="24"/>
                <w:u w:val="none" w:color="auto"/>
              </w:rPr>
              <w:t>。</w:t>
            </w:r>
          </w:p>
        </w:tc>
      </w:tr>
      <w:tr w14:paraId="3CA0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798" w:type="dxa"/>
            <w:vMerge w:val="continue"/>
            <w:shd w:val="clear" w:color="auto" w:fill="auto"/>
            <w:vAlign w:val="center"/>
          </w:tcPr>
          <w:p w14:paraId="1C883AED">
            <w:pPr>
              <w:spacing w:line="260" w:lineRule="exact"/>
              <w:jc w:val="left"/>
              <w:rPr>
                <w:rFonts w:hint="default" w:ascii="Times New Roman" w:hAnsi="Times New Roman" w:eastAsia="仿宋_GB2312" w:cs="Times New Roman"/>
                <w:b w:val="0"/>
                <w:bCs w:val="0"/>
                <w:color w:val="auto"/>
                <w:sz w:val="24"/>
                <w:u w:val="none" w:color="auto"/>
              </w:rPr>
            </w:pPr>
          </w:p>
        </w:tc>
        <w:tc>
          <w:tcPr>
            <w:tcW w:w="1814" w:type="dxa"/>
            <w:vMerge w:val="continue"/>
            <w:shd w:val="clear" w:color="auto" w:fill="auto"/>
            <w:vAlign w:val="center"/>
          </w:tcPr>
          <w:p w14:paraId="0A0E4403">
            <w:pPr>
              <w:spacing w:line="260" w:lineRule="exact"/>
              <w:jc w:val="left"/>
              <w:rPr>
                <w:rFonts w:hint="default" w:ascii="Times New Roman" w:hAnsi="Times New Roman" w:eastAsia="仿宋_GB2312" w:cs="Times New Roman"/>
                <w:b w:val="0"/>
                <w:bCs w:val="0"/>
                <w:color w:val="auto"/>
                <w:sz w:val="24"/>
                <w:u w:val="none" w:color="auto"/>
              </w:rPr>
            </w:pPr>
          </w:p>
        </w:tc>
        <w:tc>
          <w:tcPr>
            <w:tcW w:w="4390" w:type="dxa"/>
            <w:vMerge w:val="continue"/>
            <w:shd w:val="clear" w:color="auto" w:fill="auto"/>
            <w:vAlign w:val="center"/>
          </w:tcPr>
          <w:p w14:paraId="6FAF1E1D">
            <w:pPr>
              <w:spacing w:line="260" w:lineRule="exact"/>
              <w:jc w:val="left"/>
              <w:rPr>
                <w:rFonts w:hint="default" w:ascii="Times New Roman" w:hAnsi="Times New Roman" w:eastAsia="仿宋_GB2312" w:cs="Times New Roman"/>
                <w:b w:val="0"/>
                <w:bCs w:val="0"/>
                <w:color w:val="auto"/>
                <w:sz w:val="24"/>
                <w:u w:val="none" w:color="auto"/>
              </w:rPr>
            </w:pPr>
          </w:p>
        </w:tc>
        <w:tc>
          <w:tcPr>
            <w:tcW w:w="2527" w:type="dxa"/>
            <w:vMerge w:val="continue"/>
            <w:shd w:val="clear" w:color="auto" w:fill="auto"/>
            <w:vAlign w:val="center"/>
          </w:tcPr>
          <w:p w14:paraId="4D73CA90">
            <w:pPr>
              <w:spacing w:line="260" w:lineRule="exact"/>
              <w:jc w:val="left"/>
              <w:rPr>
                <w:rFonts w:hint="default" w:ascii="Times New Roman" w:hAnsi="Times New Roman" w:eastAsia="仿宋_GB2312" w:cs="Times New Roman"/>
                <w:b w:val="0"/>
                <w:bCs w:val="0"/>
                <w:color w:val="auto"/>
                <w:sz w:val="24"/>
                <w:u w:val="none" w:color="auto"/>
              </w:rPr>
            </w:pPr>
          </w:p>
        </w:tc>
        <w:tc>
          <w:tcPr>
            <w:tcW w:w="2734" w:type="dxa"/>
            <w:shd w:val="clear" w:color="auto" w:fill="auto"/>
            <w:vAlign w:val="center"/>
          </w:tcPr>
          <w:p w14:paraId="7AC0C10F">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lang w:val="en-US" w:eastAsia="zh-CN"/>
              </w:rPr>
              <w:t>2.</w:t>
            </w:r>
            <w:r>
              <w:rPr>
                <w:rFonts w:hint="default" w:ascii="Times New Roman" w:hAnsi="Times New Roman" w:eastAsia="仿宋_GB2312" w:cs="Times New Roman"/>
                <w:b w:val="0"/>
                <w:bCs w:val="0"/>
                <w:color w:val="auto"/>
                <w:sz w:val="24"/>
                <w:u w:val="none" w:color="auto"/>
              </w:rPr>
              <w:t>科技英才领航工程</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人才处</w:t>
            </w:r>
            <w:r>
              <w:rPr>
                <w:rFonts w:hint="default" w:ascii="Times New Roman" w:hAnsi="Times New Roman" w:eastAsia="仿宋_GB2312" w:cs="Times New Roman"/>
                <w:b w:val="0"/>
                <w:bCs w:val="0"/>
                <w:color w:val="auto"/>
                <w:sz w:val="24"/>
                <w:u w:val="none" w:color="auto"/>
                <w:lang w:eastAsia="zh-CN"/>
              </w:rPr>
              <w:t>）</w:t>
            </w:r>
          </w:p>
        </w:tc>
        <w:tc>
          <w:tcPr>
            <w:tcW w:w="1645" w:type="dxa"/>
            <w:vAlign w:val="center"/>
          </w:tcPr>
          <w:p w14:paraId="73909685">
            <w:pPr>
              <w:spacing w:line="260" w:lineRule="exact"/>
              <w:jc w:val="left"/>
              <w:rPr>
                <w:rFonts w:hint="default" w:ascii="Times New Roman" w:hAnsi="Times New Roman" w:eastAsia="仿宋_GB2312" w:cs="Times New Roman"/>
                <w:b w:val="0"/>
                <w:bCs w:val="0"/>
                <w:color w:val="auto"/>
                <w:sz w:val="24"/>
                <w:u w:val="none" w:color="auto"/>
                <w:lang w:val="en-US" w:eastAsia="zh-CN"/>
              </w:rPr>
            </w:pPr>
            <w:r>
              <w:rPr>
                <w:rFonts w:hint="default" w:ascii="Times New Roman" w:hAnsi="Times New Roman" w:eastAsia="仿宋_GB2312" w:cs="Times New Roman"/>
                <w:b w:val="0"/>
                <w:bCs w:val="0"/>
                <w:color w:val="auto"/>
                <w:sz w:val="24"/>
                <w:u w:val="none" w:color="auto"/>
              </w:rPr>
              <w:t>028-</w:t>
            </w:r>
            <w:r>
              <w:rPr>
                <w:rFonts w:hint="default" w:ascii="Times New Roman" w:hAnsi="Times New Roman" w:eastAsia="仿宋_GB2312" w:cs="Times New Roman"/>
                <w:b w:val="0"/>
                <w:bCs w:val="0"/>
                <w:color w:val="auto"/>
                <w:sz w:val="24"/>
                <w:u w:val="none" w:color="auto"/>
                <w:lang w:val="en-US" w:eastAsia="zh-CN"/>
              </w:rPr>
              <w:t>86728520</w:t>
            </w:r>
          </w:p>
        </w:tc>
        <w:tc>
          <w:tcPr>
            <w:tcW w:w="1248" w:type="dxa"/>
            <w:vMerge w:val="continue"/>
            <w:shd w:val="clear" w:color="auto" w:fill="auto"/>
            <w:vAlign w:val="center"/>
          </w:tcPr>
          <w:p w14:paraId="1C57B366">
            <w:pPr>
              <w:spacing w:line="260" w:lineRule="exact"/>
              <w:jc w:val="left"/>
              <w:rPr>
                <w:rFonts w:hint="default" w:ascii="Times New Roman" w:hAnsi="Times New Roman" w:eastAsia="仿宋_GB2312" w:cs="Times New Roman"/>
                <w:b w:val="0"/>
                <w:bCs w:val="0"/>
                <w:color w:val="auto"/>
                <w:sz w:val="24"/>
                <w:u w:val="none" w:color="auto"/>
              </w:rPr>
            </w:pPr>
          </w:p>
        </w:tc>
      </w:tr>
      <w:tr w14:paraId="6B3A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98" w:type="dxa"/>
            <w:shd w:val="clear" w:color="auto" w:fill="auto"/>
            <w:vAlign w:val="center"/>
          </w:tcPr>
          <w:p w14:paraId="47996C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12</w:t>
            </w:r>
          </w:p>
        </w:tc>
        <w:tc>
          <w:tcPr>
            <w:tcW w:w="1814" w:type="dxa"/>
            <w:shd w:val="clear" w:color="auto" w:fill="auto"/>
            <w:vAlign w:val="center"/>
          </w:tcPr>
          <w:p w14:paraId="7A2D6F72">
            <w:pPr>
              <w:spacing w:line="260" w:lineRule="exact"/>
              <w:jc w:val="both"/>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科学普及项目</w:t>
            </w:r>
          </w:p>
        </w:tc>
        <w:tc>
          <w:tcPr>
            <w:tcW w:w="4390" w:type="dxa"/>
            <w:shd w:val="clear" w:color="auto" w:fill="auto"/>
            <w:vAlign w:val="center"/>
          </w:tcPr>
          <w:p w14:paraId="42D2C74A">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该项目主要用于支持提升全民科学素质，开展科普相关的教育、宣传、培训和科普阵地建设，支持加强学术交流、提高科技服务水平、智库建设等。</w:t>
            </w:r>
          </w:p>
          <w:p w14:paraId="157EE553">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适用于注册地在四川省境内，具有独立法人资格的高等院校、科研院所、医疗卫生机构和其他具备科研开发、科技服务和决策咨询研究能力的企业及单位。（详见当年申报通知）</w:t>
            </w:r>
          </w:p>
        </w:tc>
        <w:tc>
          <w:tcPr>
            <w:tcW w:w="2527" w:type="dxa"/>
            <w:shd w:val="clear" w:color="auto" w:fill="auto"/>
            <w:vAlign w:val="center"/>
          </w:tcPr>
          <w:p w14:paraId="37A93064">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参考</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四川省科学技术厅关于发布2026年科普项目申报指南的通知</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https://kjt.sc.gov.cn//kjt/gstz/2025/9/17/f9c43b26b0994f77b4d7c9b0b392f60e.shtml</w:t>
            </w:r>
          </w:p>
        </w:tc>
        <w:tc>
          <w:tcPr>
            <w:tcW w:w="2734" w:type="dxa"/>
            <w:shd w:val="clear" w:color="auto" w:fill="auto"/>
            <w:vAlign w:val="center"/>
          </w:tcPr>
          <w:p w14:paraId="5126DCAD">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科普处</w:t>
            </w:r>
          </w:p>
        </w:tc>
        <w:tc>
          <w:tcPr>
            <w:tcW w:w="1645" w:type="dxa"/>
            <w:vAlign w:val="center"/>
          </w:tcPr>
          <w:p w14:paraId="50A0597F">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028-86729925</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86669053</w:t>
            </w:r>
          </w:p>
        </w:tc>
        <w:tc>
          <w:tcPr>
            <w:tcW w:w="1248" w:type="dxa"/>
            <w:shd w:val="clear" w:color="auto" w:fill="auto"/>
            <w:vAlign w:val="center"/>
          </w:tcPr>
          <w:p w14:paraId="615A3DC6">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每年不定期发布申报指南</w:t>
            </w:r>
            <w:r>
              <w:rPr>
                <w:rFonts w:hint="default" w:ascii="Times New Roman" w:hAnsi="Times New Roman" w:eastAsia="仿宋_GB2312" w:cs="Times New Roman"/>
                <w:b w:val="0"/>
                <w:bCs w:val="0"/>
                <w:color w:val="auto"/>
                <w:sz w:val="24"/>
                <w:u w:val="none" w:color="auto"/>
                <w:lang w:eastAsia="zh-CN"/>
              </w:rPr>
              <w:t>。</w:t>
            </w:r>
          </w:p>
        </w:tc>
      </w:tr>
      <w:tr w14:paraId="3B40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798" w:type="dxa"/>
            <w:shd w:val="clear" w:color="auto" w:fill="auto"/>
            <w:vAlign w:val="center"/>
          </w:tcPr>
          <w:p w14:paraId="0813D56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13</w:t>
            </w:r>
          </w:p>
        </w:tc>
        <w:tc>
          <w:tcPr>
            <w:tcW w:w="1814" w:type="dxa"/>
            <w:shd w:val="clear" w:color="auto" w:fill="auto"/>
            <w:vAlign w:val="center"/>
          </w:tcPr>
          <w:p w14:paraId="234C6B6E">
            <w:pPr>
              <w:spacing w:line="260" w:lineRule="exact"/>
              <w:jc w:val="both"/>
              <w:rPr>
                <w:rFonts w:hint="default" w:ascii="Times New Roman" w:hAnsi="Times New Roman" w:eastAsia="仿宋_GB2312" w:cs="Times New Roman"/>
                <w:b w:val="0"/>
                <w:bCs w:val="0"/>
                <w:color w:val="auto"/>
                <w:sz w:val="24"/>
                <w:u w:val="none" w:color="auto"/>
                <w:lang w:val="en-US" w:eastAsia="zh-CN"/>
              </w:rPr>
            </w:pPr>
            <w:r>
              <w:rPr>
                <w:rFonts w:hint="default" w:ascii="Times New Roman" w:hAnsi="Times New Roman" w:eastAsia="仿宋_GB2312" w:cs="Times New Roman"/>
                <w:b w:val="0"/>
                <w:bCs w:val="0"/>
                <w:color w:val="auto"/>
                <w:sz w:val="24"/>
                <w:u w:val="none" w:color="auto"/>
                <w:lang w:val="en" w:eastAsia="zh-CN"/>
              </w:rPr>
              <w:t>组织重大科技创新活动</w:t>
            </w:r>
          </w:p>
        </w:tc>
        <w:tc>
          <w:tcPr>
            <w:tcW w:w="4390" w:type="dxa"/>
            <w:shd w:val="clear" w:color="auto" w:fill="auto"/>
            <w:vAlign w:val="center"/>
          </w:tcPr>
          <w:p w14:paraId="7FF21DD9">
            <w:pPr>
              <w:spacing w:line="260" w:lineRule="exact"/>
              <w:ind w:firstLine="240" w:firstLineChars="100"/>
              <w:jc w:val="both"/>
              <w:rPr>
                <w:rFonts w:hint="default" w:ascii="Times New Roman" w:hAnsi="Times New Roman" w:eastAsia="仿宋_GB2312" w:cs="Times New Roman"/>
                <w:b w:val="0"/>
                <w:bCs w:val="0"/>
                <w:color w:val="auto"/>
                <w:sz w:val="24"/>
                <w:u w:val="none" w:color="auto"/>
                <w:lang w:val="en-US" w:eastAsia="zh-CN"/>
              </w:rPr>
            </w:pPr>
            <w:r>
              <w:rPr>
                <w:rFonts w:hint="default" w:ascii="Times New Roman" w:hAnsi="Times New Roman" w:eastAsia="仿宋_GB2312" w:cs="Times New Roman"/>
                <w:b w:val="0"/>
                <w:bCs w:val="0"/>
                <w:color w:val="auto"/>
                <w:sz w:val="24"/>
                <w:u w:val="none" w:color="auto"/>
                <w:lang w:eastAsia="zh-CN"/>
              </w:rPr>
              <w:t>该项目主要围绕人工智能、航空航天、先进装备、生物制造、清洁能源、先进材料等重点领域，择优支持10个左右具有国内外重要影响力的重大科技创新活动。适用于</w:t>
            </w:r>
            <w:r>
              <w:rPr>
                <w:rFonts w:hint="default" w:ascii="Times New Roman" w:hAnsi="Times New Roman" w:eastAsia="仿宋_GB2312" w:cs="Times New Roman"/>
                <w:b w:val="0"/>
                <w:bCs w:val="0"/>
                <w:color w:val="auto"/>
                <w:sz w:val="24"/>
                <w:u w:val="none" w:color="auto"/>
              </w:rPr>
              <w:t>在四川依法注册、具有独立法人资格的科研机构、高等院校、学术团体(社会组织)、企业、医疗机构等创新主体(不含党政机关)，且需作为活动主办或承办单位之一</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（详见当年申报通知）</w:t>
            </w:r>
          </w:p>
        </w:tc>
        <w:tc>
          <w:tcPr>
            <w:tcW w:w="2527" w:type="dxa"/>
            <w:shd w:val="clear" w:color="auto" w:fill="auto"/>
            <w:vAlign w:val="center"/>
          </w:tcPr>
          <w:p w14:paraId="58F251AF">
            <w:pPr>
              <w:spacing w:line="260" w:lineRule="exact"/>
              <w:jc w:val="left"/>
              <w:rPr>
                <w:rFonts w:hint="default" w:ascii="Times New Roman" w:hAnsi="Times New Roman" w:eastAsia="仿宋_GB2312" w:cs="Times New Roman"/>
                <w:b w:val="0"/>
                <w:bCs w:val="0"/>
                <w:color w:val="auto"/>
                <w:sz w:val="24"/>
                <w:u w:val="none" w:color="auto"/>
                <w:lang w:val="en-US" w:eastAsia="zh-CN"/>
              </w:rPr>
            </w:pPr>
            <w:r>
              <w:rPr>
                <w:rFonts w:hint="default" w:ascii="Times New Roman" w:hAnsi="Times New Roman" w:eastAsia="仿宋_GB2312" w:cs="Times New Roman"/>
                <w:b w:val="0"/>
                <w:bCs w:val="0"/>
                <w:color w:val="auto"/>
                <w:sz w:val="24"/>
                <w:u w:val="none" w:color="auto"/>
              </w:rPr>
              <w:t>具体要求详见科技厅官网通知。</w:t>
            </w:r>
          </w:p>
        </w:tc>
        <w:tc>
          <w:tcPr>
            <w:tcW w:w="2734" w:type="dxa"/>
            <w:shd w:val="clear" w:color="auto" w:fill="auto"/>
            <w:vAlign w:val="center"/>
          </w:tcPr>
          <w:p w14:paraId="19D3CB28">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lang w:eastAsia="zh-CN"/>
              </w:rPr>
              <w:t>科普处</w:t>
            </w:r>
          </w:p>
        </w:tc>
        <w:tc>
          <w:tcPr>
            <w:tcW w:w="1645" w:type="dxa"/>
            <w:shd w:val="clear" w:color="auto" w:fill="auto"/>
            <w:vAlign w:val="center"/>
          </w:tcPr>
          <w:p w14:paraId="33908749">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028-86729925</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86669053</w:t>
            </w:r>
          </w:p>
        </w:tc>
        <w:tc>
          <w:tcPr>
            <w:tcW w:w="1248" w:type="dxa"/>
            <w:shd w:val="clear" w:color="auto" w:fill="auto"/>
            <w:vAlign w:val="center"/>
          </w:tcPr>
          <w:p w14:paraId="70D5ADD0">
            <w:pPr>
              <w:spacing w:line="260" w:lineRule="exact"/>
              <w:jc w:val="center"/>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每年不定期发布申报指南</w:t>
            </w:r>
          </w:p>
        </w:tc>
      </w:tr>
      <w:tr w14:paraId="53E3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798" w:type="dxa"/>
            <w:shd w:val="clear" w:color="auto" w:fill="auto"/>
            <w:vAlign w:val="center"/>
          </w:tcPr>
          <w:p w14:paraId="2EE041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14</w:t>
            </w:r>
          </w:p>
        </w:tc>
        <w:tc>
          <w:tcPr>
            <w:tcW w:w="1814" w:type="dxa"/>
            <w:shd w:val="clear" w:color="auto" w:fill="auto"/>
            <w:vAlign w:val="center"/>
          </w:tcPr>
          <w:p w14:paraId="1BC04114">
            <w:pPr>
              <w:spacing w:line="260" w:lineRule="exact"/>
              <w:jc w:val="both"/>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lang w:eastAsia="zh-CN"/>
              </w:rPr>
              <w:t>软科学研究项目</w:t>
            </w:r>
          </w:p>
        </w:tc>
        <w:tc>
          <w:tcPr>
            <w:tcW w:w="4390" w:type="dxa"/>
            <w:shd w:val="clear" w:color="auto" w:fill="auto"/>
            <w:vAlign w:val="center"/>
          </w:tcPr>
          <w:p w14:paraId="44B55675">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both"/>
              <w:textAlignment w:val="auto"/>
              <w:rPr>
                <w:rFonts w:hint="default" w:ascii="Times New Roman" w:hAnsi="Times New Roman" w:eastAsia="仿宋_GB2312" w:cs="Times New Roman"/>
                <w:b w:val="0"/>
                <w:bCs w:val="0"/>
                <w:color w:val="auto"/>
                <w:kern w:val="2"/>
                <w:sz w:val="21"/>
                <w:szCs w:val="24"/>
                <w:u w:val="none" w:color="auto"/>
                <w:lang w:val="en-US" w:eastAsia="zh-CN" w:bidi="ar-SA"/>
              </w:rPr>
            </w:pPr>
            <w:r>
              <w:rPr>
                <w:rFonts w:hint="default" w:ascii="Times New Roman" w:hAnsi="Times New Roman" w:eastAsia="仿宋_GB2312" w:cs="Times New Roman"/>
                <w:b w:val="0"/>
                <w:bCs w:val="0"/>
                <w:color w:val="auto"/>
                <w:sz w:val="24"/>
                <w:u w:val="none" w:color="auto"/>
                <w:lang w:eastAsia="zh-CN"/>
              </w:rPr>
              <w:t>该项目主要用于支持与科技创新密切相关领域的研究，包括科技战略研究、前沿技术预测、科技创新政策、科技体制机制改革、产业创新发展、创新体系建设、科技人才队伍建设等方向。适用于具有独立法人资格并具备决策咨询研究能力的高等院校、科研院所、医疗卫生机构、企业和智库机构及有关单位。</w:t>
            </w:r>
            <w:r>
              <w:rPr>
                <w:rFonts w:hint="default" w:ascii="Times New Roman" w:hAnsi="Times New Roman" w:eastAsia="仿宋_GB2312" w:cs="Times New Roman"/>
                <w:b w:val="0"/>
                <w:bCs w:val="0"/>
                <w:color w:val="auto"/>
                <w:sz w:val="24"/>
                <w:u w:val="none" w:color="auto"/>
              </w:rPr>
              <w:t>（详见当年申报通知）</w:t>
            </w:r>
          </w:p>
        </w:tc>
        <w:tc>
          <w:tcPr>
            <w:tcW w:w="2527" w:type="dxa"/>
            <w:shd w:val="clear" w:color="auto" w:fill="auto"/>
            <w:vAlign w:val="center"/>
          </w:tcPr>
          <w:p w14:paraId="6CAF72CE">
            <w:pPr>
              <w:spacing w:line="260" w:lineRule="exact"/>
              <w:jc w:val="both"/>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具体要求详见科技厅官网通知。</w:t>
            </w:r>
          </w:p>
        </w:tc>
        <w:tc>
          <w:tcPr>
            <w:tcW w:w="2734" w:type="dxa"/>
            <w:shd w:val="clear" w:color="auto" w:fill="auto"/>
            <w:vAlign w:val="center"/>
          </w:tcPr>
          <w:p w14:paraId="6C669F85">
            <w:pPr>
              <w:spacing w:line="260" w:lineRule="exact"/>
              <w:jc w:val="both"/>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lang w:eastAsia="zh-CN"/>
              </w:rPr>
              <w:t>规划处</w:t>
            </w:r>
          </w:p>
        </w:tc>
        <w:tc>
          <w:tcPr>
            <w:tcW w:w="1645" w:type="dxa"/>
            <w:shd w:val="clear" w:color="auto" w:fill="auto"/>
            <w:vAlign w:val="center"/>
          </w:tcPr>
          <w:p w14:paraId="324AAB42">
            <w:pPr>
              <w:spacing w:line="260" w:lineRule="exact"/>
              <w:jc w:val="both"/>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lang w:val="en-US" w:eastAsia="zh-CN"/>
              </w:rPr>
              <w:t>028-86668540</w:t>
            </w:r>
          </w:p>
        </w:tc>
        <w:tc>
          <w:tcPr>
            <w:tcW w:w="1248" w:type="dxa"/>
            <w:shd w:val="clear" w:color="auto" w:fill="auto"/>
            <w:vAlign w:val="center"/>
          </w:tcPr>
          <w:p w14:paraId="3F49B1E6">
            <w:pPr>
              <w:spacing w:line="260" w:lineRule="exact"/>
              <w:jc w:val="both"/>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每年不定期发布申报指南</w:t>
            </w:r>
            <w:r>
              <w:rPr>
                <w:rFonts w:hint="default" w:ascii="Times New Roman" w:hAnsi="Times New Roman" w:eastAsia="仿宋_GB2312" w:cs="Times New Roman"/>
                <w:b w:val="0"/>
                <w:bCs w:val="0"/>
                <w:color w:val="auto"/>
                <w:sz w:val="24"/>
                <w:u w:val="none" w:color="auto"/>
                <w:lang w:eastAsia="zh-CN"/>
              </w:rPr>
              <w:t>。</w:t>
            </w:r>
          </w:p>
        </w:tc>
      </w:tr>
      <w:tr w14:paraId="768E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5156" w:type="dxa"/>
            <w:gridSpan w:val="7"/>
            <w:vAlign w:val="center"/>
          </w:tcPr>
          <w:p w14:paraId="0BD7B32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楷体_GB2312" w:cs="Times New Roman"/>
                <w:b w:val="0"/>
                <w:bCs w:val="0"/>
                <w:color w:val="auto"/>
                <w:sz w:val="24"/>
                <w:szCs w:val="24"/>
                <w:u w:val="none" w:color="auto"/>
                <w:vertAlign w:val="baseline"/>
                <w:lang w:val="en-US" w:eastAsia="zh-CN"/>
              </w:rPr>
              <w:t>二、科技创新平台（含园区、基地）（</w:t>
            </w:r>
            <w:r>
              <w:rPr>
                <w:rFonts w:hint="eastAsia" w:ascii="Times New Roman" w:hAnsi="Times New Roman" w:eastAsia="楷体_GB2312" w:cs="Times New Roman"/>
                <w:b w:val="0"/>
                <w:bCs w:val="0"/>
                <w:color w:val="auto"/>
                <w:sz w:val="24"/>
                <w:szCs w:val="24"/>
                <w:u w:val="none" w:color="auto"/>
                <w:vertAlign w:val="baseline"/>
                <w:lang w:val="en-US" w:eastAsia="zh-CN"/>
              </w:rPr>
              <w:t>15</w:t>
            </w:r>
            <w:r>
              <w:rPr>
                <w:rFonts w:hint="default" w:ascii="Times New Roman" w:hAnsi="Times New Roman" w:eastAsia="楷体_GB2312" w:cs="Times New Roman"/>
                <w:b w:val="0"/>
                <w:bCs w:val="0"/>
                <w:color w:val="auto"/>
                <w:sz w:val="24"/>
                <w:szCs w:val="24"/>
                <w:u w:val="none" w:color="auto"/>
                <w:vertAlign w:val="baseline"/>
                <w:lang w:val="en-US" w:eastAsia="zh-CN"/>
              </w:rPr>
              <w:t>项）</w:t>
            </w:r>
          </w:p>
        </w:tc>
      </w:tr>
      <w:tr w14:paraId="186A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798" w:type="dxa"/>
            <w:vAlign w:val="center"/>
          </w:tcPr>
          <w:p w14:paraId="2D81853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15</w:t>
            </w:r>
          </w:p>
        </w:tc>
        <w:tc>
          <w:tcPr>
            <w:tcW w:w="1814" w:type="dxa"/>
            <w:shd w:val="clear" w:color="auto" w:fill="auto"/>
            <w:vAlign w:val="center"/>
          </w:tcPr>
          <w:p w14:paraId="0F5DFE43">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四川省重大科研基础设施和大型科研仪器开放共享管理办法</w:t>
            </w:r>
          </w:p>
        </w:tc>
        <w:tc>
          <w:tcPr>
            <w:tcW w:w="4390" w:type="dxa"/>
            <w:shd w:val="clear" w:color="auto" w:fill="auto"/>
            <w:vAlign w:val="center"/>
          </w:tcPr>
          <w:p w14:paraId="1BA20A85">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适用于科研设施与仪器的开放、运行、维护、使用管理等工作。</w:t>
            </w:r>
          </w:p>
        </w:tc>
        <w:tc>
          <w:tcPr>
            <w:tcW w:w="2527" w:type="dxa"/>
            <w:shd w:val="clear" w:color="auto" w:fill="auto"/>
            <w:vAlign w:val="center"/>
          </w:tcPr>
          <w:p w14:paraId="627582B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https://kjt.sc.gov.cn/kjt/xzgfxwj/2025/6/27/9cf03270c7e749dfa012f468f9e39de6.shtml</w:t>
            </w:r>
          </w:p>
        </w:tc>
        <w:tc>
          <w:tcPr>
            <w:tcW w:w="2734" w:type="dxa"/>
            <w:shd w:val="clear" w:color="auto" w:fill="auto"/>
            <w:vAlign w:val="center"/>
          </w:tcPr>
          <w:p w14:paraId="60B1A42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平台处</w:t>
            </w:r>
          </w:p>
        </w:tc>
        <w:tc>
          <w:tcPr>
            <w:tcW w:w="1645" w:type="dxa"/>
            <w:shd w:val="clear" w:color="auto" w:fill="auto"/>
            <w:vAlign w:val="center"/>
          </w:tcPr>
          <w:p w14:paraId="11C9C1D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028-86718265</w:t>
            </w:r>
          </w:p>
        </w:tc>
        <w:tc>
          <w:tcPr>
            <w:tcW w:w="1248" w:type="dxa"/>
            <w:shd w:val="clear" w:color="auto" w:fill="auto"/>
            <w:vAlign w:val="center"/>
          </w:tcPr>
          <w:p w14:paraId="67AC6CB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38C1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vAlign w:val="center"/>
          </w:tcPr>
          <w:p w14:paraId="0783CD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16</w:t>
            </w:r>
          </w:p>
        </w:tc>
        <w:tc>
          <w:tcPr>
            <w:tcW w:w="1814" w:type="dxa"/>
            <w:shd w:val="clear" w:color="auto" w:fill="auto"/>
            <w:vAlign w:val="center"/>
          </w:tcPr>
          <w:p w14:paraId="28DA988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四川省科技资源共享服务平台管理办法</w:t>
            </w:r>
          </w:p>
        </w:tc>
        <w:tc>
          <w:tcPr>
            <w:tcW w:w="4390" w:type="dxa"/>
            <w:shd w:val="clear" w:color="auto" w:fill="auto"/>
            <w:vAlign w:val="center"/>
          </w:tcPr>
          <w:p w14:paraId="770EE24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申请建设省科技资源共享服务平台，必须满足《四川省科技资源共享服务平台管理办法》第十条的条件，详见网页。</w:t>
            </w:r>
          </w:p>
        </w:tc>
        <w:tc>
          <w:tcPr>
            <w:tcW w:w="2527" w:type="dxa"/>
            <w:shd w:val="clear" w:color="auto" w:fill="auto"/>
            <w:vAlign w:val="center"/>
          </w:tcPr>
          <w:p w14:paraId="5820497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https://kjt.sc.gov.cn//kjt/xzgfxwj/2025/3/24/42c931b07a1642359a60e76c91376d33.shtml</w:t>
            </w:r>
          </w:p>
        </w:tc>
        <w:tc>
          <w:tcPr>
            <w:tcW w:w="2734" w:type="dxa"/>
            <w:shd w:val="clear" w:color="auto" w:fill="auto"/>
            <w:vAlign w:val="center"/>
          </w:tcPr>
          <w:p w14:paraId="58BA512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平台处</w:t>
            </w:r>
          </w:p>
        </w:tc>
        <w:tc>
          <w:tcPr>
            <w:tcW w:w="1645" w:type="dxa"/>
            <w:shd w:val="clear" w:color="auto" w:fill="auto"/>
            <w:vAlign w:val="center"/>
          </w:tcPr>
          <w:p w14:paraId="37B8CD7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028-86718265</w:t>
            </w:r>
          </w:p>
        </w:tc>
        <w:tc>
          <w:tcPr>
            <w:tcW w:w="1248" w:type="dxa"/>
            <w:shd w:val="clear" w:color="auto" w:fill="auto"/>
            <w:vAlign w:val="center"/>
          </w:tcPr>
          <w:p w14:paraId="40DCB5E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317D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vAlign w:val="center"/>
          </w:tcPr>
          <w:p w14:paraId="3C7E6CA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17</w:t>
            </w:r>
          </w:p>
        </w:tc>
        <w:tc>
          <w:tcPr>
            <w:tcW w:w="1814" w:type="dxa"/>
            <w:shd w:val="clear" w:color="auto" w:fill="auto"/>
            <w:vAlign w:val="center"/>
          </w:tcPr>
          <w:p w14:paraId="6329F16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四川省技术创新中心建设工作指引</w:t>
            </w:r>
          </w:p>
        </w:tc>
        <w:tc>
          <w:tcPr>
            <w:tcW w:w="4390" w:type="dxa"/>
            <w:shd w:val="clear" w:color="auto" w:fill="auto"/>
            <w:vAlign w:val="center"/>
          </w:tcPr>
          <w:p w14:paraId="6B5C871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省技术创新中心由行业龙头企业或科技领军企业牵头组建，组建模式、组建程序详见网页。</w:t>
            </w:r>
          </w:p>
        </w:tc>
        <w:tc>
          <w:tcPr>
            <w:tcW w:w="2527" w:type="dxa"/>
            <w:shd w:val="clear" w:color="auto" w:fill="auto"/>
            <w:vAlign w:val="center"/>
          </w:tcPr>
          <w:p w14:paraId="27D5C0B4">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https://kjt.sc.gov.cn/kjt/xzgfxwj/2025/1/17/5709002668db498da1178c2d92979348.shtml</w:t>
            </w:r>
          </w:p>
        </w:tc>
        <w:tc>
          <w:tcPr>
            <w:tcW w:w="2734" w:type="dxa"/>
            <w:shd w:val="clear" w:color="auto" w:fill="auto"/>
            <w:vAlign w:val="center"/>
          </w:tcPr>
          <w:p w14:paraId="13C59F3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平台处</w:t>
            </w:r>
          </w:p>
        </w:tc>
        <w:tc>
          <w:tcPr>
            <w:tcW w:w="1645" w:type="dxa"/>
            <w:shd w:val="clear" w:color="auto" w:fill="auto"/>
            <w:vAlign w:val="center"/>
          </w:tcPr>
          <w:p w14:paraId="2F04A6C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028-86710094</w:t>
            </w:r>
          </w:p>
        </w:tc>
        <w:tc>
          <w:tcPr>
            <w:tcW w:w="1248" w:type="dxa"/>
            <w:shd w:val="clear" w:color="auto" w:fill="auto"/>
            <w:vAlign w:val="center"/>
          </w:tcPr>
          <w:p w14:paraId="520A914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5FE1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vAlign w:val="center"/>
          </w:tcPr>
          <w:p w14:paraId="119123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18</w:t>
            </w:r>
          </w:p>
        </w:tc>
        <w:tc>
          <w:tcPr>
            <w:tcW w:w="1814" w:type="dxa"/>
            <w:shd w:val="clear" w:color="auto" w:fill="auto"/>
            <w:vAlign w:val="center"/>
          </w:tcPr>
          <w:p w14:paraId="630A6093">
            <w:pPr>
              <w:keepNext w:val="0"/>
              <w:keepLines w:val="0"/>
              <w:widowControl/>
              <w:suppressLineNumbers w:val="0"/>
              <w:jc w:val="both"/>
              <w:textAlignment w:val="center"/>
              <w:rPr>
                <w:rFonts w:hint="default" w:ascii="Times New Roman" w:hAnsi="Times New Roman" w:eastAsia="仿宋_GB2312" w:cs="Times New Roman"/>
                <w:b w:val="0"/>
                <w:bCs w:val="0"/>
                <w:i w:val="0"/>
                <w:color w:val="auto"/>
                <w:kern w:val="0"/>
                <w:sz w:val="24"/>
                <w:szCs w:val="24"/>
                <w:u w:val="none" w:color="auto"/>
                <w:lang w:val="en-US" w:eastAsia="zh-CN" w:bidi="ar"/>
              </w:rPr>
            </w:pPr>
            <w:r>
              <w:rPr>
                <w:rFonts w:hint="default" w:ascii="Times New Roman" w:hAnsi="Times New Roman" w:eastAsia="仿宋_GB2312" w:cs="Times New Roman"/>
                <w:b w:val="0"/>
                <w:bCs w:val="0"/>
                <w:i w:val="0"/>
                <w:color w:val="auto"/>
                <w:kern w:val="0"/>
                <w:sz w:val="24"/>
                <w:szCs w:val="24"/>
                <w:u w:val="none" w:color="auto"/>
                <w:lang w:val="en-US" w:eastAsia="zh-CN" w:bidi="ar"/>
              </w:rPr>
              <w:t>四川省临床医学研究中心管理办法</w:t>
            </w:r>
          </w:p>
        </w:tc>
        <w:tc>
          <w:tcPr>
            <w:tcW w:w="4390" w:type="dxa"/>
            <w:shd w:val="clear" w:color="auto" w:fill="auto"/>
            <w:vAlign w:val="center"/>
          </w:tcPr>
          <w:p w14:paraId="34D746F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i w:val="0"/>
                <w:color w:val="auto"/>
                <w:kern w:val="0"/>
                <w:sz w:val="24"/>
                <w:szCs w:val="24"/>
                <w:u w:val="none" w:color="auto"/>
                <w:lang w:val="en-US" w:eastAsia="zh-CN" w:bidi="ar"/>
              </w:rPr>
              <w:t>申报省临床医学研究中心，必须满足《四川省临床医学研究中心管理办法》第十三条的条件，详见网页。</w:t>
            </w:r>
          </w:p>
        </w:tc>
        <w:tc>
          <w:tcPr>
            <w:tcW w:w="2527" w:type="dxa"/>
            <w:shd w:val="clear" w:color="auto" w:fill="auto"/>
            <w:vAlign w:val="center"/>
          </w:tcPr>
          <w:p w14:paraId="2EB5F2BE">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https://kjt.sc.gov.cn//kjt/gstz/2021/9/2/21880359f63b492eb7bd9ce7d2c2319d.shtml</w:t>
            </w:r>
          </w:p>
        </w:tc>
        <w:tc>
          <w:tcPr>
            <w:tcW w:w="2734" w:type="dxa"/>
            <w:shd w:val="clear" w:color="auto" w:fill="auto"/>
            <w:vAlign w:val="center"/>
          </w:tcPr>
          <w:p w14:paraId="4448E12A">
            <w:pPr>
              <w:keepNext w:val="0"/>
              <w:keepLines w:val="0"/>
              <w:widowControl/>
              <w:suppressLineNumbers w:val="0"/>
              <w:jc w:val="left"/>
              <w:textAlignment w:val="center"/>
              <w:rPr>
                <w:rFonts w:hint="default" w:ascii="Times New Roman" w:hAnsi="Times New Roman" w:eastAsia="仿宋_GB2312" w:cs="Times New Roman"/>
                <w:b w:val="0"/>
                <w:bCs w:val="0"/>
                <w:i w:val="0"/>
                <w:color w:val="auto"/>
                <w:kern w:val="0"/>
                <w:sz w:val="24"/>
                <w:szCs w:val="24"/>
                <w:u w:val="none" w:color="auto"/>
                <w:lang w:val="en-US" w:eastAsia="zh-CN" w:bidi="ar"/>
              </w:rPr>
            </w:pPr>
            <w:r>
              <w:rPr>
                <w:rFonts w:hint="default" w:ascii="Times New Roman" w:hAnsi="Times New Roman" w:eastAsia="仿宋_GB2312" w:cs="Times New Roman"/>
                <w:b w:val="0"/>
                <w:bCs w:val="0"/>
                <w:i w:val="0"/>
                <w:color w:val="auto"/>
                <w:kern w:val="0"/>
                <w:sz w:val="24"/>
                <w:szCs w:val="24"/>
                <w:u w:val="none" w:color="auto"/>
                <w:lang w:val="en-US" w:eastAsia="zh-CN" w:bidi="ar"/>
              </w:rPr>
              <w:t>民生处</w:t>
            </w:r>
          </w:p>
        </w:tc>
        <w:tc>
          <w:tcPr>
            <w:tcW w:w="1645" w:type="dxa"/>
            <w:shd w:val="clear" w:color="auto" w:fill="auto"/>
            <w:vAlign w:val="center"/>
          </w:tcPr>
          <w:p w14:paraId="5A470A9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028-86723142</w:t>
            </w:r>
          </w:p>
        </w:tc>
        <w:tc>
          <w:tcPr>
            <w:tcW w:w="1248" w:type="dxa"/>
            <w:shd w:val="clear" w:color="auto" w:fill="auto"/>
            <w:vAlign w:val="center"/>
          </w:tcPr>
          <w:p w14:paraId="32BFC19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61DB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vAlign w:val="center"/>
          </w:tcPr>
          <w:p w14:paraId="0C11C1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19</w:t>
            </w:r>
          </w:p>
        </w:tc>
        <w:tc>
          <w:tcPr>
            <w:tcW w:w="1814" w:type="dxa"/>
            <w:vAlign w:val="center"/>
          </w:tcPr>
          <w:p w14:paraId="752B171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软科学研究基地建设管理办法</w:t>
            </w:r>
          </w:p>
        </w:tc>
        <w:tc>
          <w:tcPr>
            <w:tcW w:w="4390" w:type="dxa"/>
            <w:vAlign w:val="center"/>
          </w:tcPr>
          <w:p w14:paraId="67AADE2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申请承建软科学研究基地，必须满足《软科学研究基地建设管理办法》第十条的条件，详见网页。</w:t>
            </w:r>
          </w:p>
        </w:tc>
        <w:tc>
          <w:tcPr>
            <w:tcW w:w="2527" w:type="dxa"/>
            <w:vAlign w:val="center"/>
          </w:tcPr>
          <w:p w14:paraId="70A4B520">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https://kjt.sc.gov.cn//kjt/xzgfxwj/2025/12/24/a1c4dbfaecb7496e8f0c70f75da252ad.shtml</w:t>
            </w:r>
          </w:p>
        </w:tc>
        <w:tc>
          <w:tcPr>
            <w:tcW w:w="2734" w:type="dxa"/>
            <w:vAlign w:val="center"/>
          </w:tcPr>
          <w:p w14:paraId="582C0A1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规划处</w:t>
            </w:r>
          </w:p>
        </w:tc>
        <w:tc>
          <w:tcPr>
            <w:tcW w:w="1645" w:type="dxa"/>
            <w:vAlign w:val="center"/>
          </w:tcPr>
          <w:p w14:paraId="03A7526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028-86668540</w:t>
            </w:r>
          </w:p>
        </w:tc>
        <w:tc>
          <w:tcPr>
            <w:tcW w:w="1248" w:type="dxa"/>
            <w:shd w:val="clear" w:color="auto" w:fill="auto"/>
            <w:vAlign w:val="center"/>
          </w:tcPr>
          <w:p w14:paraId="021D8F1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1C24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vAlign w:val="center"/>
          </w:tcPr>
          <w:p w14:paraId="35EEA19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20</w:t>
            </w:r>
          </w:p>
        </w:tc>
        <w:tc>
          <w:tcPr>
            <w:tcW w:w="1814" w:type="dxa"/>
            <w:vAlign w:val="center"/>
          </w:tcPr>
          <w:p w14:paraId="26DB71EC">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四川省重点实验室管理办法</w:t>
            </w:r>
          </w:p>
        </w:tc>
        <w:tc>
          <w:tcPr>
            <w:tcW w:w="4390" w:type="dxa"/>
            <w:vAlign w:val="center"/>
          </w:tcPr>
          <w:p w14:paraId="6BFDFCA1">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申请建设省重点实验室，必须满足《四川省重点实验室管理办法》第十二条的条件，详见网页。</w:t>
            </w:r>
          </w:p>
        </w:tc>
        <w:tc>
          <w:tcPr>
            <w:tcW w:w="2527" w:type="dxa"/>
            <w:vAlign w:val="center"/>
          </w:tcPr>
          <w:p w14:paraId="15D0D544">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https://kjt.sc.gov.cn/kjt/xzgfxwj/2025/11/3/41c564fd71ff49aeaf63aa5bb6dafee3.shtml</w:t>
            </w:r>
          </w:p>
        </w:tc>
        <w:tc>
          <w:tcPr>
            <w:tcW w:w="2734" w:type="dxa"/>
            <w:vAlign w:val="center"/>
          </w:tcPr>
          <w:p w14:paraId="06FEB84A">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平台处</w:t>
            </w:r>
          </w:p>
        </w:tc>
        <w:tc>
          <w:tcPr>
            <w:tcW w:w="1645" w:type="dxa"/>
            <w:vAlign w:val="center"/>
          </w:tcPr>
          <w:p w14:paraId="2FC62A7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028-86673767</w:t>
            </w:r>
          </w:p>
        </w:tc>
        <w:tc>
          <w:tcPr>
            <w:tcW w:w="1248" w:type="dxa"/>
            <w:shd w:val="clear" w:color="auto" w:fill="auto"/>
            <w:vAlign w:val="center"/>
          </w:tcPr>
          <w:p w14:paraId="5536B56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2D67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vAlign w:val="center"/>
          </w:tcPr>
          <w:p w14:paraId="3B3FF08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21</w:t>
            </w:r>
          </w:p>
        </w:tc>
        <w:tc>
          <w:tcPr>
            <w:tcW w:w="1814" w:type="dxa"/>
            <w:shd w:val="clear" w:color="auto" w:fill="auto"/>
            <w:vAlign w:val="center"/>
          </w:tcPr>
          <w:p w14:paraId="225716E2">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科技型企业孵化器管理办法</w:t>
            </w:r>
          </w:p>
        </w:tc>
        <w:tc>
          <w:tcPr>
            <w:tcW w:w="4390" w:type="dxa"/>
            <w:shd w:val="clear" w:color="auto" w:fill="auto"/>
            <w:vAlign w:val="center"/>
          </w:tcPr>
          <w:p w14:paraId="0900CC6E">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申请标准级孵化器，须满足《科技型企业孵化器管理办法》第八条的条件；申请卓越级孵化器，须满足《科技型企业孵化器管理办法》第九条的条件</w:t>
            </w:r>
            <w:r>
              <w:rPr>
                <w:rFonts w:hint="eastAsia" w:ascii="Times New Roman" w:hAnsi="Times New Roman" w:eastAsia="仿宋_GB2312" w:cs="Times New Roman"/>
                <w:b w:val="0"/>
                <w:bCs w:val="0"/>
                <w:color w:val="auto"/>
                <w:sz w:val="24"/>
                <w:szCs w:val="24"/>
                <w:u w:val="none" w:color="auto"/>
                <w:vertAlign w:val="baseline"/>
                <w:lang w:val="en-US" w:eastAsia="zh-CN"/>
              </w:rPr>
              <w:t>，</w:t>
            </w:r>
            <w:r>
              <w:rPr>
                <w:rFonts w:hint="default" w:ascii="Times New Roman" w:hAnsi="Times New Roman" w:eastAsia="仿宋_GB2312" w:cs="Times New Roman"/>
                <w:b w:val="0"/>
                <w:bCs w:val="0"/>
                <w:color w:val="auto"/>
                <w:sz w:val="24"/>
                <w:szCs w:val="24"/>
                <w:u w:val="none" w:color="auto"/>
                <w:vertAlign w:val="baseline"/>
                <w:lang w:val="en-US" w:eastAsia="zh-CN"/>
              </w:rPr>
              <w:t>详见网页。</w:t>
            </w:r>
          </w:p>
        </w:tc>
        <w:tc>
          <w:tcPr>
            <w:tcW w:w="2527" w:type="dxa"/>
            <w:shd w:val="clear" w:color="auto" w:fill="auto"/>
            <w:vAlign w:val="center"/>
          </w:tcPr>
          <w:p w14:paraId="40E7F4F0">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https://kjt.sc.gov.cn//kjt/xzgfxwj/2025/10/9/48860ba5e19441a9b6d570bded7f06ae.shtml</w:t>
            </w:r>
          </w:p>
        </w:tc>
        <w:tc>
          <w:tcPr>
            <w:tcW w:w="2734" w:type="dxa"/>
            <w:shd w:val="clear" w:color="auto" w:fill="auto"/>
            <w:vAlign w:val="center"/>
          </w:tcPr>
          <w:p w14:paraId="6A860E6E">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产业处</w:t>
            </w:r>
          </w:p>
        </w:tc>
        <w:tc>
          <w:tcPr>
            <w:tcW w:w="1645" w:type="dxa"/>
            <w:shd w:val="clear" w:color="auto" w:fill="auto"/>
            <w:vAlign w:val="center"/>
          </w:tcPr>
          <w:p w14:paraId="61801F2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0288-6615320</w:t>
            </w:r>
          </w:p>
        </w:tc>
        <w:tc>
          <w:tcPr>
            <w:tcW w:w="1248" w:type="dxa"/>
            <w:shd w:val="clear" w:color="auto" w:fill="auto"/>
            <w:vAlign w:val="center"/>
          </w:tcPr>
          <w:p w14:paraId="5A02553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4A76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798" w:type="dxa"/>
            <w:vAlign w:val="center"/>
          </w:tcPr>
          <w:p w14:paraId="057D25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22</w:t>
            </w:r>
          </w:p>
        </w:tc>
        <w:tc>
          <w:tcPr>
            <w:tcW w:w="1814" w:type="dxa"/>
            <w:vAlign w:val="center"/>
          </w:tcPr>
          <w:p w14:paraId="26249F06">
            <w:pPr>
              <w:pStyle w:val="7"/>
              <w:keepNext w:val="0"/>
              <w:keepLines w:val="0"/>
              <w:pageBreakBefore w:val="0"/>
              <w:widowControl w:val="0"/>
              <w:kinsoku/>
              <w:wordWrap/>
              <w:overflowPunct/>
              <w:topLinePunct w:val="0"/>
              <w:autoSpaceDE/>
              <w:autoSpaceDN/>
              <w:bidi w:val="0"/>
              <w:adjustRightInd w:val="0"/>
              <w:snapToGrid w:val="0"/>
              <w:spacing w:after="0"/>
              <w:textAlignment w:val="auto"/>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r>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t>天府实验室建设管理办法</w:t>
            </w:r>
          </w:p>
        </w:tc>
        <w:tc>
          <w:tcPr>
            <w:tcW w:w="4390" w:type="dxa"/>
            <w:vAlign w:val="center"/>
          </w:tcPr>
          <w:p w14:paraId="6DEB4438">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r>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t>适用于天府实验室。</w:t>
            </w:r>
          </w:p>
        </w:tc>
        <w:tc>
          <w:tcPr>
            <w:tcW w:w="2527" w:type="dxa"/>
            <w:vAlign w:val="center"/>
          </w:tcPr>
          <w:p w14:paraId="7256CD28">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r>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t>https://www.sc.gov.cn/10462/zfwjts/2024/12/12/121d0df650cb408d845927e19ccd970e.shtml</w:t>
            </w:r>
          </w:p>
        </w:tc>
        <w:tc>
          <w:tcPr>
            <w:tcW w:w="2734" w:type="dxa"/>
            <w:vAlign w:val="center"/>
          </w:tcPr>
          <w:p w14:paraId="0517A37A">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r>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t>平台处</w:t>
            </w:r>
          </w:p>
        </w:tc>
        <w:tc>
          <w:tcPr>
            <w:tcW w:w="1645" w:type="dxa"/>
            <w:vAlign w:val="center"/>
          </w:tcPr>
          <w:p w14:paraId="10AEF32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028-86673767</w:t>
            </w:r>
          </w:p>
        </w:tc>
        <w:tc>
          <w:tcPr>
            <w:tcW w:w="1248" w:type="dxa"/>
            <w:shd w:val="clear" w:color="auto" w:fill="auto"/>
            <w:vAlign w:val="center"/>
          </w:tcPr>
          <w:p w14:paraId="4FB1E308">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jc w:val="left"/>
              <w:textAlignment w:val="auto"/>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p>
        </w:tc>
      </w:tr>
      <w:tr w14:paraId="139B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vAlign w:val="center"/>
          </w:tcPr>
          <w:p w14:paraId="5CA9FB9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23</w:t>
            </w:r>
          </w:p>
        </w:tc>
        <w:tc>
          <w:tcPr>
            <w:tcW w:w="1814" w:type="dxa"/>
            <w:vAlign w:val="center"/>
          </w:tcPr>
          <w:p w14:paraId="1B697C5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四川省加快推进省级农业高新技术产业园区建设发展工作指引</w:t>
            </w:r>
          </w:p>
        </w:tc>
        <w:tc>
          <w:tcPr>
            <w:tcW w:w="4390" w:type="dxa"/>
            <w:vAlign w:val="center"/>
          </w:tcPr>
          <w:p w14:paraId="201DF36C">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申报建设省级农业高新技术产业园区，必须满足《四川省加快推进省级农业高新技术产业园区建设发展工作指引》第三条的条件，详见网页。</w:t>
            </w:r>
          </w:p>
        </w:tc>
        <w:tc>
          <w:tcPr>
            <w:tcW w:w="2527" w:type="dxa"/>
            <w:vAlign w:val="center"/>
          </w:tcPr>
          <w:p w14:paraId="4960915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https://kjt.sc.gov.cn//kjt/xzgfxwj/2025/5/23/9ba4118ceace4618bc58ab469bb20317.shtml</w:t>
            </w:r>
          </w:p>
        </w:tc>
        <w:tc>
          <w:tcPr>
            <w:tcW w:w="2734" w:type="dxa"/>
            <w:vAlign w:val="center"/>
          </w:tcPr>
          <w:p w14:paraId="26F69400">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农资环处</w:t>
            </w:r>
          </w:p>
        </w:tc>
        <w:tc>
          <w:tcPr>
            <w:tcW w:w="1645" w:type="dxa"/>
            <w:vAlign w:val="center"/>
          </w:tcPr>
          <w:p w14:paraId="15B2C45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028-86730190</w:t>
            </w:r>
          </w:p>
        </w:tc>
        <w:tc>
          <w:tcPr>
            <w:tcW w:w="1248" w:type="dxa"/>
            <w:shd w:val="clear" w:color="auto" w:fill="auto"/>
            <w:vAlign w:val="center"/>
          </w:tcPr>
          <w:p w14:paraId="6BA0F7C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73FA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798" w:type="dxa"/>
            <w:vAlign w:val="center"/>
          </w:tcPr>
          <w:p w14:paraId="5CB26C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24</w:t>
            </w:r>
          </w:p>
        </w:tc>
        <w:tc>
          <w:tcPr>
            <w:tcW w:w="1814" w:type="dxa"/>
            <w:shd w:val="clear" w:color="auto" w:fill="auto"/>
            <w:vAlign w:val="center"/>
          </w:tcPr>
          <w:p w14:paraId="726AD07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新型研发机构建设管理办法</w:t>
            </w:r>
          </w:p>
        </w:tc>
        <w:tc>
          <w:tcPr>
            <w:tcW w:w="4390" w:type="dxa"/>
            <w:shd w:val="clear" w:color="auto" w:fill="auto"/>
            <w:vAlign w:val="center"/>
          </w:tcPr>
          <w:p w14:paraId="7CAA0E95">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备案新型研发机构，必须满足《四川省新型研发机构建设管理办法》第八、十八条的条件，详见网页。</w:t>
            </w:r>
          </w:p>
        </w:tc>
        <w:tc>
          <w:tcPr>
            <w:tcW w:w="2527" w:type="dxa"/>
            <w:shd w:val="clear" w:color="auto" w:fill="auto"/>
            <w:vAlign w:val="center"/>
          </w:tcPr>
          <w:p w14:paraId="4F1337F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https://kjt.sc.gov.cn/kjt/xzgfxwj/2023/5/25/7a0d6b6a94a24589a7e6c71bd4c3239b.shtml</w:t>
            </w:r>
          </w:p>
        </w:tc>
        <w:tc>
          <w:tcPr>
            <w:tcW w:w="2734" w:type="dxa"/>
            <w:shd w:val="clear" w:color="auto" w:fill="auto"/>
            <w:vAlign w:val="center"/>
          </w:tcPr>
          <w:p w14:paraId="6D22FEA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体系处</w:t>
            </w:r>
          </w:p>
        </w:tc>
        <w:tc>
          <w:tcPr>
            <w:tcW w:w="1645" w:type="dxa"/>
            <w:shd w:val="clear" w:color="auto" w:fill="auto"/>
            <w:vAlign w:val="center"/>
          </w:tcPr>
          <w:p w14:paraId="008465E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028-86669425</w:t>
            </w:r>
          </w:p>
        </w:tc>
        <w:tc>
          <w:tcPr>
            <w:tcW w:w="1248" w:type="dxa"/>
            <w:shd w:val="clear" w:color="auto" w:fill="auto"/>
            <w:vAlign w:val="center"/>
          </w:tcPr>
          <w:p w14:paraId="13DD3A0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755E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798" w:type="dxa"/>
            <w:vAlign w:val="center"/>
          </w:tcPr>
          <w:p w14:paraId="2B66D1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25</w:t>
            </w:r>
          </w:p>
        </w:tc>
        <w:tc>
          <w:tcPr>
            <w:tcW w:w="1814" w:type="dxa"/>
            <w:vAlign w:val="center"/>
          </w:tcPr>
          <w:p w14:paraId="163F443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四川省野外科学观测研究站管理办法</w:t>
            </w:r>
          </w:p>
        </w:tc>
        <w:tc>
          <w:tcPr>
            <w:tcW w:w="4390" w:type="dxa"/>
            <w:vAlign w:val="center"/>
          </w:tcPr>
          <w:p w14:paraId="62238D7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申请建设省野外科学观测研究站，必须满足《四川省野外科学观测研究站管理办法》第九条的条件，详见网页。</w:t>
            </w:r>
          </w:p>
        </w:tc>
        <w:tc>
          <w:tcPr>
            <w:tcW w:w="2527" w:type="dxa"/>
            <w:vAlign w:val="center"/>
          </w:tcPr>
          <w:p w14:paraId="1A26989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https://kjt.sc.gov.cn//kjt/xzgfxwj/2025/2/7/7ce94364f46a49679334b97cc5018444.shtml</w:t>
            </w:r>
          </w:p>
        </w:tc>
        <w:tc>
          <w:tcPr>
            <w:tcW w:w="2734" w:type="dxa"/>
            <w:vAlign w:val="center"/>
          </w:tcPr>
          <w:p w14:paraId="3CD61FF2">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平台处</w:t>
            </w:r>
          </w:p>
        </w:tc>
        <w:tc>
          <w:tcPr>
            <w:tcW w:w="1645" w:type="dxa"/>
            <w:vAlign w:val="center"/>
          </w:tcPr>
          <w:p w14:paraId="177E3BC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028-86718265</w:t>
            </w:r>
          </w:p>
        </w:tc>
        <w:tc>
          <w:tcPr>
            <w:tcW w:w="1248" w:type="dxa"/>
            <w:shd w:val="clear" w:color="auto" w:fill="auto"/>
            <w:vAlign w:val="center"/>
          </w:tcPr>
          <w:p w14:paraId="1EDB067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6B51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798" w:type="dxa"/>
            <w:vAlign w:val="center"/>
          </w:tcPr>
          <w:p w14:paraId="6595D8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26</w:t>
            </w:r>
          </w:p>
        </w:tc>
        <w:tc>
          <w:tcPr>
            <w:tcW w:w="1814" w:type="dxa"/>
            <w:vAlign w:val="center"/>
          </w:tcPr>
          <w:p w14:paraId="3338A655">
            <w:pPr>
              <w:keepNext w:val="0"/>
              <w:keepLines w:val="0"/>
              <w:pageBreakBefore w:val="0"/>
              <w:widowControl/>
              <w:suppressLineNumbers w:val="0"/>
              <w:kinsoku/>
              <w:wordWrap/>
              <w:overflowPunct/>
              <w:topLinePunct w:val="0"/>
              <w:autoSpaceDE/>
              <w:autoSpaceDN w:val="0"/>
              <w:bidi w:val="0"/>
              <w:adjustRightInd/>
              <w:snapToGrid/>
              <w:jc w:val="both"/>
              <w:textAlignment w:val="center"/>
              <w:rPr>
                <w:rFonts w:hint="default" w:ascii="Times New Roman" w:hAnsi="Times New Roman" w:eastAsia="仿宋_GB2312" w:cs="Times New Roman"/>
                <w:b w:val="0"/>
                <w:bCs w:val="0"/>
                <w:snapToGrid w:val="0"/>
                <w:color w:val="auto"/>
                <w:kern w:val="2"/>
                <w:sz w:val="24"/>
                <w:szCs w:val="24"/>
                <w:highlight w:val="none"/>
                <w:u w:val="none" w:color="auto"/>
                <w:lang w:val="en-US" w:eastAsia="zh-CN" w:bidi="ar-SA"/>
              </w:rPr>
            </w:pPr>
            <w:r>
              <w:rPr>
                <w:rFonts w:hint="default" w:ascii="Times New Roman" w:hAnsi="Times New Roman" w:eastAsia="仿宋_GB2312" w:cs="Times New Roman"/>
                <w:b w:val="0"/>
                <w:bCs w:val="0"/>
                <w:i w:val="0"/>
                <w:color w:val="auto"/>
                <w:kern w:val="0"/>
                <w:sz w:val="24"/>
                <w:szCs w:val="24"/>
                <w:u w:val="none" w:color="auto"/>
                <w:lang w:val="en-US" w:eastAsia="zh-CN" w:bidi="ar"/>
              </w:rPr>
              <w:t>四川省进一步鼓励外商投资设立研发中心的若干措施</w:t>
            </w:r>
          </w:p>
        </w:tc>
        <w:tc>
          <w:tcPr>
            <w:tcW w:w="4390" w:type="dxa"/>
            <w:vAlign w:val="center"/>
          </w:tcPr>
          <w:p w14:paraId="16D2377A">
            <w:pPr>
              <w:keepNext w:val="0"/>
              <w:keepLines w:val="0"/>
              <w:widowControl/>
              <w:suppressLineNumbers w:val="0"/>
              <w:jc w:val="both"/>
              <w:textAlignment w:val="center"/>
              <w:rPr>
                <w:rFonts w:hint="default" w:ascii="Times New Roman" w:hAnsi="Times New Roman" w:eastAsia="仿宋_GB2312" w:cs="Times New Roman"/>
                <w:b w:val="0"/>
                <w:bCs w:val="0"/>
                <w:snapToGrid w:val="0"/>
                <w:color w:val="auto"/>
                <w:kern w:val="2"/>
                <w:sz w:val="24"/>
                <w:szCs w:val="24"/>
                <w:highlight w:val="none"/>
                <w:u w:val="none" w:color="auto"/>
                <w:lang w:val="en-US" w:eastAsia="zh-CN" w:bidi="ar-SA"/>
              </w:rPr>
            </w:pPr>
            <w:r>
              <w:rPr>
                <w:rFonts w:hint="default" w:ascii="Times New Roman" w:hAnsi="Times New Roman" w:eastAsia="仿宋_GB2312" w:cs="Times New Roman"/>
                <w:b w:val="0"/>
                <w:bCs w:val="0"/>
                <w:snapToGrid w:val="0"/>
                <w:color w:val="auto"/>
                <w:kern w:val="2"/>
                <w:sz w:val="24"/>
                <w:szCs w:val="24"/>
                <w:highlight w:val="none"/>
                <w:u w:val="none" w:color="auto"/>
                <w:lang w:val="en-US" w:eastAsia="zh-CN" w:bidi="ar-SA"/>
              </w:rPr>
              <w:t>适用于鼓励外商在川投资设立研发中心。</w:t>
            </w:r>
          </w:p>
        </w:tc>
        <w:tc>
          <w:tcPr>
            <w:tcW w:w="2527" w:type="dxa"/>
            <w:vAlign w:val="center"/>
          </w:tcPr>
          <w:p w14:paraId="5D82C65C">
            <w:pPr>
              <w:keepNext w:val="0"/>
              <w:keepLines w:val="0"/>
              <w:widowControl/>
              <w:suppressLineNumbers w:val="0"/>
              <w:jc w:val="left"/>
              <w:textAlignment w:val="center"/>
              <w:rPr>
                <w:rFonts w:hint="default" w:ascii="Times New Roman" w:hAnsi="Times New Roman" w:eastAsia="仿宋_GB2312" w:cs="Times New Roman"/>
                <w:b w:val="0"/>
                <w:bCs w:val="0"/>
                <w:snapToGrid w:val="0"/>
                <w:color w:val="auto"/>
                <w:kern w:val="2"/>
                <w:sz w:val="24"/>
                <w:szCs w:val="24"/>
                <w:highlight w:val="none"/>
                <w:u w:val="none" w:color="auto"/>
                <w:lang w:val="en-US" w:eastAsia="zh-CN" w:bidi="ar-SA"/>
              </w:rPr>
            </w:pPr>
            <w:r>
              <w:rPr>
                <w:rFonts w:hint="default" w:ascii="Times New Roman" w:hAnsi="Times New Roman" w:eastAsia="仿宋_GB2312" w:cs="Times New Roman"/>
                <w:b w:val="0"/>
                <w:bCs w:val="0"/>
                <w:snapToGrid w:val="0"/>
                <w:color w:val="auto"/>
                <w:kern w:val="2"/>
                <w:sz w:val="24"/>
                <w:szCs w:val="24"/>
                <w:highlight w:val="none"/>
                <w:u w:val="none" w:color="auto"/>
                <w:lang w:val="en-US" w:eastAsia="zh-CN" w:bidi="ar-SA"/>
              </w:rPr>
              <w:t>https://kjt.sc.gov.cn//kjt/gstz/2024/12/11/2822191602d140caabd7f3f46e7db70d.shtml</w:t>
            </w:r>
          </w:p>
        </w:tc>
        <w:tc>
          <w:tcPr>
            <w:tcW w:w="2734" w:type="dxa"/>
            <w:vAlign w:val="center"/>
          </w:tcPr>
          <w:p w14:paraId="3D3C93A3">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highlight w:val="none"/>
                <w:u w:val="none" w:color="auto"/>
                <w:lang w:val="en-US" w:eastAsia="zh-CN" w:bidi="ar-SA"/>
              </w:rPr>
            </w:pPr>
            <w:r>
              <w:rPr>
                <w:rFonts w:hint="default" w:ascii="Times New Roman" w:hAnsi="Times New Roman" w:eastAsia="仿宋_GB2312" w:cs="Times New Roman"/>
                <w:b w:val="0"/>
                <w:bCs w:val="0"/>
                <w:color w:val="auto"/>
                <w:sz w:val="24"/>
                <w:szCs w:val="24"/>
                <w:highlight w:val="none"/>
                <w:u w:val="none" w:color="auto"/>
                <w:lang w:val="en-US" w:eastAsia="zh-CN"/>
              </w:rPr>
              <w:t>合作处</w:t>
            </w:r>
          </w:p>
        </w:tc>
        <w:tc>
          <w:tcPr>
            <w:tcW w:w="1645" w:type="dxa"/>
            <w:vAlign w:val="center"/>
          </w:tcPr>
          <w:p w14:paraId="3814BC6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028-86613642</w:t>
            </w:r>
          </w:p>
        </w:tc>
        <w:tc>
          <w:tcPr>
            <w:tcW w:w="1248" w:type="dxa"/>
            <w:shd w:val="clear" w:color="auto" w:fill="auto"/>
            <w:vAlign w:val="center"/>
          </w:tcPr>
          <w:p w14:paraId="3A2B059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1F78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798" w:type="dxa"/>
            <w:vAlign w:val="center"/>
          </w:tcPr>
          <w:p w14:paraId="10F5DB4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27</w:t>
            </w:r>
          </w:p>
        </w:tc>
        <w:tc>
          <w:tcPr>
            <w:tcW w:w="1814" w:type="dxa"/>
            <w:vAlign w:val="center"/>
          </w:tcPr>
          <w:p w14:paraId="1B86C4C9">
            <w:pPr>
              <w:keepNext w:val="0"/>
              <w:keepLines w:val="0"/>
              <w:widowControl/>
              <w:suppressLineNumbers w:val="0"/>
              <w:jc w:val="both"/>
              <w:textAlignment w:val="center"/>
              <w:rPr>
                <w:rFonts w:hint="default" w:ascii="Times New Roman" w:hAnsi="Times New Roman" w:eastAsia="仿宋_GB2312" w:cs="Times New Roman"/>
                <w:b w:val="0"/>
                <w:bCs w:val="0"/>
                <w:i w:val="0"/>
                <w:color w:val="auto"/>
                <w:kern w:val="0"/>
                <w:sz w:val="24"/>
                <w:szCs w:val="24"/>
                <w:u w:val="none" w:color="auto"/>
                <w:lang w:val="en-US" w:eastAsia="zh-CN" w:bidi="ar"/>
              </w:rPr>
            </w:pPr>
            <w:r>
              <w:rPr>
                <w:rFonts w:hint="default" w:ascii="Times New Roman" w:hAnsi="Times New Roman" w:eastAsia="仿宋_GB2312" w:cs="Times New Roman"/>
                <w:b w:val="0"/>
                <w:bCs w:val="0"/>
                <w:i w:val="0"/>
                <w:color w:val="auto"/>
                <w:kern w:val="0"/>
                <w:sz w:val="24"/>
                <w:szCs w:val="24"/>
                <w:u w:val="none" w:color="auto"/>
                <w:lang w:val="en-US" w:eastAsia="zh-CN" w:bidi="ar"/>
              </w:rPr>
              <w:t>四川省中试研发平台建设运行管理办法</w:t>
            </w:r>
          </w:p>
        </w:tc>
        <w:tc>
          <w:tcPr>
            <w:tcW w:w="4390" w:type="dxa"/>
            <w:vAlign w:val="center"/>
          </w:tcPr>
          <w:p w14:paraId="6490B0AD">
            <w:pPr>
              <w:keepNext w:val="0"/>
              <w:keepLines w:val="0"/>
              <w:widowControl/>
              <w:suppressLineNumbers w:val="0"/>
              <w:jc w:val="both"/>
              <w:textAlignment w:val="center"/>
              <w:rPr>
                <w:rFonts w:hint="default" w:ascii="Times New Roman" w:hAnsi="Times New Roman" w:eastAsia="仿宋_GB2312" w:cs="Times New Roman"/>
                <w:b w:val="0"/>
                <w:bCs w:val="0"/>
                <w:i w:val="0"/>
                <w:color w:val="auto"/>
                <w:kern w:val="0"/>
                <w:sz w:val="24"/>
                <w:szCs w:val="24"/>
                <w:u w:val="none" w:color="auto"/>
                <w:lang w:val="en-US" w:eastAsia="zh-CN" w:bidi="ar"/>
              </w:rPr>
            </w:pPr>
            <w:r>
              <w:rPr>
                <w:rFonts w:hint="default" w:ascii="Times New Roman" w:hAnsi="Times New Roman" w:eastAsia="仿宋_GB2312" w:cs="Times New Roman"/>
                <w:b w:val="0"/>
                <w:bCs w:val="0"/>
                <w:i w:val="0"/>
                <w:color w:val="auto"/>
                <w:kern w:val="0"/>
                <w:sz w:val="24"/>
                <w:szCs w:val="24"/>
                <w:u w:val="none" w:color="auto"/>
                <w:lang w:val="en-US" w:eastAsia="zh-CN" w:bidi="ar"/>
              </w:rPr>
              <w:t>申报四川省中试研发平台，必须满足《四川省中试研发平台建设运行管理办法》第六条的条件，详见网页。</w:t>
            </w:r>
          </w:p>
        </w:tc>
        <w:tc>
          <w:tcPr>
            <w:tcW w:w="2527" w:type="dxa"/>
            <w:vAlign w:val="center"/>
          </w:tcPr>
          <w:p w14:paraId="3B9D7412">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https://kjt.sc.gov.cn/kjt/xzgfxwj/2023/6/9/12c28748a30b4a7a8b4e825b1bbe5d14.shtml</w:t>
            </w:r>
          </w:p>
        </w:tc>
        <w:tc>
          <w:tcPr>
            <w:tcW w:w="2734" w:type="dxa"/>
            <w:vAlign w:val="center"/>
          </w:tcPr>
          <w:p w14:paraId="773A69FE">
            <w:pPr>
              <w:keepNext w:val="0"/>
              <w:keepLines w:val="0"/>
              <w:widowControl/>
              <w:suppressLineNumbers w:val="0"/>
              <w:jc w:val="left"/>
              <w:textAlignment w:val="center"/>
              <w:rPr>
                <w:rFonts w:hint="default" w:ascii="Times New Roman" w:hAnsi="Times New Roman" w:eastAsia="仿宋_GB2312" w:cs="Times New Roman"/>
                <w:b w:val="0"/>
                <w:bCs w:val="0"/>
                <w:i w:val="0"/>
                <w:color w:val="auto"/>
                <w:kern w:val="0"/>
                <w:sz w:val="24"/>
                <w:szCs w:val="24"/>
                <w:u w:val="none" w:color="auto"/>
                <w:lang w:val="en-US" w:eastAsia="zh-CN" w:bidi="ar"/>
              </w:rPr>
            </w:pPr>
            <w:r>
              <w:rPr>
                <w:rFonts w:hint="default" w:ascii="Times New Roman" w:hAnsi="Times New Roman" w:eastAsia="仿宋_GB2312" w:cs="Times New Roman"/>
                <w:b w:val="0"/>
                <w:bCs w:val="0"/>
                <w:i w:val="0"/>
                <w:color w:val="auto"/>
                <w:kern w:val="0"/>
                <w:sz w:val="24"/>
                <w:szCs w:val="24"/>
                <w:u w:val="none" w:color="auto"/>
                <w:lang w:val="en-US" w:eastAsia="zh-CN" w:bidi="ar"/>
              </w:rPr>
              <w:t>成果处</w:t>
            </w:r>
          </w:p>
        </w:tc>
        <w:tc>
          <w:tcPr>
            <w:tcW w:w="1645" w:type="dxa"/>
            <w:vAlign w:val="center"/>
          </w:tcPr>
          <w:p w14:paraId="645733E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028-86723913</w:t>
            </w:r>
          </w:p>
        </w:tc>
        <w:tc>
          <w:tcPr>
            <w:tcW w:w="1248" w:type="dxa"/>
            <w:shd w:val="clear" w:color="auto" w:fill="auto"/>
            <w:vAlign w:val="center"/>
          </w:tcPr>
          <w:p w14:paraId="71E4C7A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078E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798" w:type="dxa"/>
            <w:vAlign w:val="center"/>
          </w:tcPr>
          <w:p w14:paraId="4CDCF2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28</w:t>
            </w:r>
          </w:p>
        </w:tc>
        <w:tc>
          <w:tcPr>
            <w:tcW w:w="1814" w:type="dxa"/>
            <w:shd w:val="clear" w:color="auto" w:fill="auto"/>
            <w:vAlign w:val="center"/>
          </w:tcPr>
          <w:p w14:paraId="21C773C2">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技术转移机构</w:t>
            </w:r>
          </w:p>
        </w:tc>
        <w:tc>
          <w:tcPr>
            <w:tcW w:w="4390" w:type="dxa"/>
            <w:shd w:val="clear" w:color="auto" w:fill="auto"/>
            <w:vAlign w:val="center"/>
          </w:tcPr>
          <w:p w14:paraId="25F0E09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备案技术转移机构，必须满足《四川省技术转移机构管理办法》第十一条的条件，详见网页。</w:t>
            </w:r>
          </w:p>
        </w:tc>
        <w:tc>
          <w:tcPr>
            <w:tcW w:w="2527" w:type="dxa"/>
            <w:shd w:val="clear" w:color="auto" w:fill="auto"/>
            <w:vAlign w:val="center"/>
          </w:tcPr>
          <w:p w14:paraId="161BF5C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https://kjt.sc.gov.cn/kjt/xzgfxwj/2025/1/10/b946d6adf5af4d6c8c12684c512b02ee.shtml</w:t>
            </w:r>
          </w:p>
        </w:tc>
        <w:tc>
          <w:tcPr>
            <w:tcW w:w="2734" w:type="dxa"/>
            <w:shd w:val="clear" w:color="auto" w:fill="auto"/>
            <w:vAlign w:val="center"/>
          </w:tcPr>
          <w:p w14:paraId="288B2975">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成果处</w:t>
            </w:r>
          </w:p>
        </w:tc>
        <w:tc>
          <w:tcPr>
            <w:tcW w:w="1645" w:type="dxa"/>
            <w:shd w:val="clear" w:color="auto" w:fill="auto"/>
            <w:vAlign w:val="center"/>
          </w:tcPr>
          <w:p w14:paraId="4D290B7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028-86723913</w:t>
            </w:r>
          </w:p>
        </w:tc>
        <w:tc>
          <w:tcPr>
            <w:tcW w:w="1248" w:type="dxa"/>
            <w:shd w:val="clear" w:color="auto" w:fill="auto"/>
            <w:vAlign w:val="center"/>
          </w:tcPr>
          <w:p w14:paraId="2E79F47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6DBA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98" w:type="dxa"/>
            <w:vAlign w:val="center"/>
          </w:tcPr>
          <w:p w14:paraId="430522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eastAsia" w:ascii="Times New Roman" w:hAnsi="Times New Roman" w:eastAsia="仿宋_GB2312" w:cs="Times New Roman"/>
                <w:b w:val="0"/>
                <w:bCs w:val="0"/>
                <w:color w:val="auto"/>
                <w:sz w:val="24"/>
                <w:szCs w:val="24"/>
                <w:u w:val="none" w:color="auto"/>
                <w:vertAlign w:val="baseline"/>
                <w:lang w:val="en-US" w:eastAsia="zh-CN"/>
              </w:rPr>
              <w:t>29</w:t>
            </w:r>
          </w:p>
        </w:tc>
        <w:tc>
          <w:tcPr>
            <w:tcW w:w="1814" w:type="dxa"/>
            <w:shd w:val="clear" w:color="auto" w:fill="auto"/>
            <w:vAlign w:val="center"/>
          </w:tcPr>
          <w:p w14:paraId="3DF2748C">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关于深化中试平台“1+N”服务体系建设</w:t>
            </w:r>
            <w:r>
              <w:rPr>
                <w:rFonts w:hint="eastAsia" w:ascii="Times New Roman" w:hAnsi="Times New Roman" w:eastAsia="仿宋_GB2312" w:cs="Times New Roman"/>
                <w:b w:val="0"/>
                <w:bCs w:val="0"/>
                <w:color w:val="auto"/>
                <w:kern w:val="2"/>
                <w:sz w:val="24"/>
                <w:szCs w:val="24"/>
                <w:u w:val="none" w:color="auto"/>
                <w:vertAlign w:val="baseline"/>
                <w:lang w:val="en-US" w:eastAsia="zh-CN" w:bidi="ar-SA"/>
              </w:rPr>
              <w:t xml:space="preserve"> </w:t>
            </w: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推动中试平台建在重点产业链上实施方案（2026—2030年）</w:t>
            </w:r>
          </w:p>
        </w:tc>
        <w:tc>
          <w:tcPr>
            <w:tcW w:w="4390" w:type="dxa"/>
            <w:shd w:val="clear" w:color="auto" w:fill="auto"/>
            <w:vAlign w:val="center"/>
          </w:tcPr>
          <w:p w14:paraId="2748220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eastAsia" w:ascii="Times New Roman" w:hAnsi="Times New Roman" w:eastAsia="仿宋_GB2312" w:cs="Times New Roman"/>
                <w:b w:val="0"/>
                <w:bCs w:val="0"/>
                <w:color w:val="auto"/>
                <w:kern w:val="2"/>
                <w:sz w:val="24"/>
                <w:szCs w:val="24"/>
                <w:u w:val="none" w:color="auto"/>
                <w:vertAlign w:val="baseline"/>
                <w:lang w:val="en-US" w:eastAsia="zh-CN" w:bidi="ar-SA"/>
              </w:rPr>
              <w:t>适用优化完善中试平台服务体系，推动中试平台建在重点产业链上，促进科技成果转化和产业化。</w:t>
            </w:r>
          </w:p>
        </w:tc>
        <w:tc>
          <w:tcPr>
            <w:tcW w:w="2527" w:type="dxa"/>
            <w:shd w:val="clear" w:color="auto" w:fill="auto"/>
            <w:vAlign w:val="center"/>
          </w:tcPr>
          <w:p w14:paraId="6E11BA2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https://kjt.sc.gov.cn//kjt/gstz/2026/5/15/5c3c8b51abc14b169cbe2575c7d8507a.shtml</w:t>
            </w:r>
          </w:p>
        </w:tc>
        <w:tc>
          <w:tcPr>
            <w:tcW w:w="2734" w:type="dxa"/>
            <w:shd w:val="clear" w:color="auto" w:fill="auto"/>
            <w:vAlign w:val="center"/>
          </w:tcPr>
          <w:p w14:paraId="150DFB4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eastAsia" w:ascii="Times New Roman" w:hAnsi="Times New Roman" w:eastAsia="仿宋_GB2312" w:cs="Times New Roman"/>
                <w:b w:val="0"/>
                <w:bCs w:val="0"/>
                <w:color w:val="auto"/>
                <w:kern w:val="2"/>
                <w:sz w:val="24"/>
                <w:szCs w:val="24"/>
                <w:u w:val="none" w:color="auto"/>
                <w:vertAlign w:val="baseline"/>
                <w:lang w:val="en-US" w:eastAsia="zh-CN" w:bidi="ar-SA"/>
              </w:rPr>
              <w:t>成果处</w:t>
            </w:r>
          </w:p>
        </w:tc>
        <w:tc>
          <w:tcPr>
            <w:tcW w:w="1645" w:type="dxa"/>
            <w:shd w:val="clear" w:color="auto" w:fill="auto"/>
            <w:vAlign w:val="center"/>
          </w:tcPr>
          <w:p w14:paraId="7568A76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u w:val="none" w:color="auto"/>
              </w:rPr>
              <w:t>028-86712007</w:t>
            </w:r>
          </w:p>
        </w:tc>
        <w:tc>
          <w:tcPr>
            <w:tcW w:w="1248" w:type="dxa"/>
            <w:shd w:val="clear" w:color="auto" w:fill="auto"/>
            <w:vAlign w:val="center"/>
          </w:tcPr>
          <w:p w14:paraId="2B3739A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183B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156" w:type="dxa"/>
            <w:gridSpan w:val="7"/>
            <w:vAlign w:val="center"/>
          </w:tcPr>
          <w:p w14:paraId="7116528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楷体_GB2312" w:cs="Times New Roman"/>
                <w:b w:val="0"/>
                <w:bCs w:val="0"/>
                <w:color w:val="auto"/>
                <w:sz w:val="24"/>
                <w:szCs w:val="24"/>
                <w:u w:val="none" w:color="auto"/>
                <w:vertAlign w:val="baseline"/>
                <w:lang w:val="en-US" w:eastAsia="zh-CN"/>
              </w:rPr>
              <w:t>三、科技型企业（</w:t>
            </w:r>
            <w:r>
              <w:rPr>
                <w:rFonts w:hint="eastAsia" w:ascii="Times New Roman" w:hAnsi="Times New Roman" w:eastAsia="楷体_GB2312" w:cs="Times New Roman"/>
                <w:b w:val="0"/>
                <w:bCs w:val="0"/>
                <w:color w:val="auto"/>
                <w:sz w:val="24"/>
                <w:szCs w:val="24"/>
                <w:u w:val="none" w:color="auto"/>
                <w:vertAlign w:val="baseline"/>
                <w:lang w:val="en-US" w:eastAsia="zh-CN"/>
              </w:rPr>
              <w:t>6</w:t>
            </w:r>
            <w:r>
              <w:rPr>
                <w:rFonts w:hint="default" w:ascii="Times New Roman" w:hAnsi="Times New Roman" w:eastAsia="楷体_GB2312" w:cs="Times New Roman"/>
                <w:b w:val="0"/>
                <w:bCs w:val="0"/>
                <w:color w:val="auto"/>
                <w:sz w:val="24"/>
                <w:szCs w:val="24"/>
                <w:u w:val="none" w:color="auto"/>
                <w:vertAlign w:val="baseline"/>
                <w:lang w:val="en-US" w:eastAsia="zh-CN"/>
              </w:rPr>
              <w:t>项）</w:t>
            </w:r>
          </w:p>
        </w:tc>
      </w:tr>
      <w:tr w14:paraId="53F7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798" w:type="dxa"/>
            <w:vAlign w:val="center"/>
          </w:tcPr>
          <w:p w14:paraId="5503A6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 w:eastAsia="zh-CN"/>
              </w:rPr>
            </w:pPr>
            <w:r>
              <w:rPr>
                <w:rFonts w:hint="eastAsia" w:ascii="Times New Roman" w:hAnsi="Times New Roman" w:eastAsia="仿宋_GB2312" w:cs="Times New Roman"/>
                <w:b w:val="0"/>
                <w:bCs w:val="0"/>
                <w:color w:val="auto"/>
                <w:sz w:val="24"/>
                <w:szCs w:val="24"/>
                <w:u w:val="none" w:color="auto"/>
                <w:vertAlign w:val="baseline"/>
                <w:lang w:val="en-US" w:eastAsia="zh-CN"/>
              </w:rPr>
              <w:t>30</w:t>
            </w:r>
          </w:p>
        </w:tc>
        <w:tc>
          <w:tcPr>
            <w:tcW w:w="1814" w:type="dxa"/>
            <w:shd w:val="clear" w:color="auto" w:fill="auto"/>
            <w:vAlign w:val="center"/>
          </w:tcPr>
          <w:p w14:paraId="61E0000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高新技术企业认定管理办法</w:t>
            </w:r>
          </w:p>
        </w:tc>
        <w:tc>
          <w:tcPr>
            <w:tcW w:w="4390" w:type="dxa"/>
            <w:shd w:val="clear" w:color="auto" w:fill="auto"/>
            <w:vAlign w:val="center"/>
          </w:tcPr>
          <w:p w14:paraId="28F99BE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申请认定高新技术企业，须满足《高新技术企业认定管理办法》第十一条的条件，详见网页。</w:t>
            </w:r>
          </w:p>
        </w:tc>
        <w:tc>
          <w:tcPr>
            <w:tcW w:w="2527" w:type="dxa"/>
            <w:shd w:val="clear" w:color="auto" w:fill="auto"/>
            <w:vAlign w:val="center"/>
          </w:tcPr>
          <w:p w14:paraId="35803D1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https://www.most.gov.cn/tztg/201602/t20160204_123994.html</w:t>
            </w:r>
          </w:p>
        </w:tc>
        <w:tc>
          <w:tcPr>
            <w:tcW w:w="2734" w:type="dxa"/>
            <w:shd w:val="clear" w:color="auto" w:fill="auto"/>
            <w:vAlign w:val="center"/>
          </w:tcPr>
          <w:p w14:paraId="7A657B9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产业处</w:t>
            </w:r>
          </w:p>
        </w:tc>
        <w:tc>
          <w:tcPr>
            <w:tcW w:w="1645" w:type="dxa"/>
            <w:shd w:val="clear" w:color="auto" w:fill="auto"/>
            <w:vAlign w:val="center"/>
          </w:tcPr>
          <w:p w14:paraId="18C309F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028-86717630</w:t>
            </w:r>
          </w:p>
        </w:tc>
        <w:tc>
          <w:tcPr>
            <w:tcW w:w="1248" w:type="dxa"/>
            <w:shd w:val="clear" w:color="auto" w:fill="auto"/>
            <w:vAlign w:val="center"/>
          </w:tcPr>
          <w:p w14:paraId="47574F2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1835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798" w:type="dxa"/>
            <w:shd w:val="clear" w:color="auto" w:fill="auto"/>
            <w:vAlign w:val="center"/>
          </w:tcPr>
          <w:p w14:paraId="363422F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sz w:val="24"/>
                <w:szCs w:val="24"/>
                <w:u w:val="none" w:color="auto"/>
                <w:vertAlign w:val="baseline"/>
                <w:lang w:val="en-US" w:eastAsia="zh-CN"/>
              </w:rPr>
              <w:t>3</w:t>
            </w:r>
            <w:r>
              <w:rPr>
                <w:rFonts w:hint="default" w:ascii="Times New Roman" w:hAnsi="Times New Roman" w:eastAsia="仿宋_GB2312" w:cs="Times New Roman"/>
                <w:b w:val="0"/>
                <w:bCs w:val="0"/>
                <w:color w:val="auto"/>
                <w:sz w:val="24"/>
                <w:szCs w:val="24"/>
                <w:u w:val="none" w:color="auto"/>
                <w:vertAlign w:val="baseline"/>
                <w:lang w:val="en" w:eastAsia="zh-CN"/>
              </w:rPr>
              <w:t>1</w:t>
            </w:r>
          </w:p>
        </w:tc>
        <w:tc>
          <w:tcPr>
            <w:tcW w:w="1814" w:type="dxa"/>
            <w:shd w:val="clear" w:color="auto" w:fill="auto"/>
            <w:vAlign w:val="center"/>
          </w:tcPr>
          <w:p w14:paraId="251099A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科技型中小企业评价办法</w:t>
            </w:r>
          </w:p>
        </w:tc>
        <w:tc>
          <w:tcPr>
            <w:tcW w:w="4390" w:type="dxa"/>
            <w:shd w:val="clear" w:color="auto" w:fill="auto"/>
            <w:vAlign w:val="center"/>
          </w:tcPr>
          <w:p w14:paraId="05A2AECE">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科技型中小企业须满足《科技型中小企业评价办法》第六条的条件，详见网页。</w:t>
            </w:r>
          </w:p>
        </w:tc>
        <w:tc>
          <w:tcPr>
            <w:tcW w:w="2527" w:type="dxa"/>
            <w:shd w:val="clear" w:color="auto" w:fill="auto"/>
            <w:vAlign w:val="center"/>
          </w:tcPr>
          <w:p w14:paraId="5EF31C8C">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https://www.most.gov.cn/xxgk/xinxifenlei/fdzdgknr/fgzc/gfxwj/gfxwj2017/201705/t20170510_132709.html</w:t>
            </w:r>
          </w:p>
        </w:tc>
        <w:tc>
          <w:tcPr>
            <w:tcW w:w="2734" w:type="dxa"/>
            <w:shd w:val="clear" w:color="auto" w:fill="auto"/>
            <w:vAlign w:val="center"/>
          </w:tcPr>
          <w:p w14:paraId="55D0BF6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产业处</w:t>
            </w:r>
          </w:p>
        </w:tc>
        <w:tc>
          <w:tcPr>
            <w:tcW w:w="1645" w:type="dxa"/>
            <w:shd w:val="clear" w:color="auto" w:fill="auto"/>
            <w:vAlign w:val="center"/>
          </w:tcPr>
          <w:p w14:paraId="1B6374A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028-86729286</w:t>
            </w:r>
          </w:p>
        </w:tc>
        <w:tc>
          <w:tcPr>
            <w:tcW w:w="1248" w:type="dxa"/>
            <w:shd w:val="clear" w:color="auto" w:fill="auto"/>
            <w:vAlign w:val="center"/>
          </w:tcPr>
          <w:p w14:paraId="49E51D9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43E0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shd w:val="clear" w:color="auto" w:fill="auto"/>
            <w:vAlign w:val="center"/>
          </w:tcPr>
          <w:p w14:paraId="48D6BD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sz w:val="24"/>
                <w:szCs w:val="24"/>
                <w:u w:val="none" w:color="auto"/>
                <w:vertAlign w:val="baseline"/>
                <w:lang w:val="en-US" w:eastAsia="zh-CN"/>
              </w:rPr>
              <w:t>3</w:t>
            </w:r>
            <w:r>
              <w:rPr>
                <w:rFonts w:hint="default" w:ascii="Times New Roman" w:hAnsi="Times New Roman" w:eastAsia="仿宋_GB2312" w:cs="Times New Roman"/>
                <w:b w:val="0"/>
                <w:bCs w:val="0"/>
                <w:color w:val="auto"/>
                <w:sz w:val="24"/>
                <w:szCs w:val="24"/>
                <w:u w:val="none" w:color="auto"/>
                <w:vertAlign w:val="baseline"/>
                <w:lang w:val="en" w:eastAsia="zh-CN"/>
              </w:rPr>
              <w:t>2</w:t>
            </w:r>
          </w:p>
        </w:tc>
        <w:tc>
          <w:tcPr>
            <w:tcW w:w="1814" w:type="dxa"/>
            <w:shd w:val="clear" w:color="auto" w:fill="auto"/>
            <w:vAlign w:val="center"/>
          </w:tcPr>
          <w:p w14:paraId="3D677A84">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四川省瞪羚企业备案管理办法</w:t>
            </w:r>
          </w:p>
        </w:tc>
        <w:tc>
          <w:tcPr>
            <w:tcW w:w="4390" w:type="dxa"/>
            <w:shd w:val="clear" w:color="auto" w:fill="auto"/>
            <w:vAlign w:val="center"/>
          </w:tcPr>
          <w:p w14:paraId="5289D3E2">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备案省瞪羚企业，须满足《四川省瞪羚企业备案管理办法》第四条的条件，详见网页。</w:t>
            </w:r>
          </w:p>
        </w:tc>
        <w:tc>
          <w:tcPr>
            <w:tcW w:w="2527" w:type="dxa"/>
            <w:shd w:val="clear" w:color="auto" w:fill="auto"/>
            <w:vAlign w:val="center"/>
          </w:tcPr>
          <w:p w14:paraId="2E392F0E">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https://kjt.sc.gov.cn//kjt/xzgfxwj/2024/9/25/1a13127dfcc94ca98a97ee9736a93f5a.shtml</w:t>
            </w:r>
          </w:p>
        </w:tc>
        <w:tc>
          <w:tcPr>
            <w:tcW w:w="2734" w:type="dxa"/>
            <w:shd w:val="clear" w:color="auto" w:fill="auto"/>
            <w:vAlign w:val="center"/>
          </w:tcPr>
          <w:p w14:paraId="6AAC357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产业处</w:t>
            </w:r>
          </w:p>
        </w:tc>
        <w:tc>
          <w:tcPr>
            <w:tcW w:w="1645" w:type="dxa"/>
            <w:shd w:val="clear" w:color="auto" w:fill="auto"/>
            <w:vAlign w:val="center"/>
          </w:tcPr>
          <w:p w14:paraId="0CFFCF0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028-86729286</w:t>
            </w:r>
          </w:p>
        </w:tc>
        <w:tc>
          <w:tcPr>
            <w:tcW w:w="1248" w:type="dxa"/>
            <w:shd w:val="clear" w:color="auto" w:fill="auto"/>
            <w:vAlign w:val="center"/>
          </w:tcPr>
          <w:p w14:paraId="44669AC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7556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shd w:val="clear" w:color="auto" w:fill="auto"/>
            <w:vAlign w:val="center"/>
          </w:tcPr>
          <w:p w14:paraId="7D2DEB2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sz w:val="24"/>
                <w:szCs w:val="24"/>
                <w:u w:val="none" w:color="auto"/>
                <w:vertAlign w:val="baseline"/>
                <w:lang w:val="en-US" w:eastAsia="zh-CN"/>
              </w:rPr>
              <w:t>3</w:t>
            </w:r>
            <w:r>
              <w:rPr>
                <w:rFonts w:hint="default" w:ascii="Times New Roman" w:hAnsi="Times New Roman" w:eastAsia="仿宋_GB2312" w:cs="Times New Roman"/>
                <w:b w:val="0"/>
                <w:bCs w:val="0"/>
                <w:color w:val="auto"/>
                <w:sz w:val="24"/>
                <w:szCs w:val="24"/>
                <w:u w:val="none" w:color="auto"/>
                <w:vertAlign w:val="baseline"/>
                <w:lang w:val="en" w:eastAsia="zh-CN"/>
              </w:rPr>
              <w:t>3</w:t>
            </w:r>
          </w:p>
        </w:tc>
        <w:tc>
          <w:tcPr>
            <w:tcW w:w="1814" w:type="dxa"/>
            <w:vAlign w:val="center"/>
          </w:tcPr>
          <w:p w14:paraId="7C3DCE0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四川省种子独角兽企业备案培育办法（试行）</w:t>
            </w:r>
          </w:p>
        </w:tc>
        <w:tc>
          <w:tcPr>
            <w:tcW w:w="4390" w:type="dxa"/>
            <w:vAlign w:val="center"/>
          </w:tcPr>
          <w:p w14:paraId="3A1AD3C4">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备案种子独角兽企业，须满足《四川省种子独角兽企业备案培育办法（试行）》第四条的条件，详见网页。</w:t>
            </w:r>
          </w:p>
        </w:tc>
        <w:tc>
          <w:tcPr>
            <w:tcW w:w="2527" w:type="dxa"/>
            <w:vAlign w:val="center"/>
          </w:tcPr>
          <w:p w14:paraId="147FAD7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https://kjt.sc.gov.cn/kjt/xzgfxwj/2025/7/7/3734d3d69604472dbb81e543ab8c7fdf.shtml</w:t>
            </w:r>
          </w:p>
        </w:tc>
        <w:tc>
          <w:tcPr>
            <w:tcW w:w="2734" w:type="dxa"/>
            <w:vAlign w:val="center"/>
          </w:tcPr>
          <w:p w14:paraId="0EF75983">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产业处</w:t>
            </w:r>
          </w:p>
        </w:tc>
        <w:tc>
          <w:tcPr>
            <w:tcW w:w="1645" w:type="dxa"/>
            <w:vAlign w:val="center"/>
          </w:tcPr>
          <w:p w14:paraId="2478C47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028-86729286</w:t>
            </w:r>
          </w:p>
        </w:tc>
        <w:tc>
          <w:tcPr>
            <w:tcW w:w="1248" w:type="dxa"/>
            <w:shd w:val="clear" w:color="auto" w:fill="auto"/>
            <w:vAlign w:val="center"/>
          </w:tcPr>
          <w:p w14:paraId="7F8CCB0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0082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shd w:val="clear" w:color="auto" w:fill="auto"/>
            <w:vAlign w:val="center"/>
          </w:tcPr>
          <w:p w14:paraId="26C6868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sz w:val="24"/>
                <w:szCs w:val="24"/>
                <w:u w:val="none" w:color="auto"/>
                <w:vertAlign w:val="baseline"/>
                <w:lang w:val="en-US" w:eastAsia="zh-CN"/>
              </w:rPr>
              <w:t>3</w:t>
            </w:r>
            <w:r>
              <w:rPr>
                <w:rFonts w:hint="default" w:ascii="Times New Roman" w:hAnsi="Times New Roman" w:eastAsia="仿宋_GB2312" w:cs="Times New Roman"/>
                <w:b w:val="0"/>
                <w:bCs w:val="0"/>
                <w:color w:val="auto"/>
                <w:sz w:val="24"/>
                <w:szCs w:val="24"/>
                <w:u w:val="none" w:color="auto"/>
                <w:vertAlign w:val="baseline"/>
                <w:lang w:val="en" w:eastAsia="zh-CN"/>
              </w:rPr>
              <w:t>4</w:t>
            </w:r>
          </w:p>
        </w:tc>
        <w:tc>
          <w:tcPr>
            <w:tcW w:w="1814" w:type="dxa"/>
            <w:vAlign w:val="center"/>
          </w:tcPr>
          <w:p w14:paraId="1E8235FE">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四川省人工智能链主企业遴选及管理办法（试行）</w:t>
            </w:r>
          </w:p>
        </w:tc>
        <w:tc>
          <w:tcPr>
            <w:tcW w:w="4390" w:type="dxa"/>
            <w:vAlign w:val="center"/>
          </w:tcPr>
          <w:p w14:paraId="65BD641C">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申报省人工智能链主企业，须满足《四川省人工智能链主企业遴选及管理办法（试行）》第四条、第五条的条件，详见网页。</w:t>
            </w:r>
          </w:p>
        </w:tc>
        <w:tc>
          <w:tcPr>
            <w:tcW w:w="2527" w:type="dxa"/>
            <w:vAlign w:val="center"/>
          </w:tcPr>
          <w:p w14:paraId="65DA2ACA">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https://kjt.sc.gov.cn//kjt/xzgfxwj/2025/1/21/98acf68ca2c24f039dc056a375aa10a7.shtml</w:t>
            </w:r>
          </w:p>
        </w:tc>
        <w:tc>
          <w:tcPr>
            <w:tcW w:w="2734" w:type="dxa"/>
            <w:vAlign w:val="center"/>
          </w:tcPr>
          <w:p w14:paraId="7DE57C1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人工智能处</w:t>
            </w:r>
          </w:p>
        </w:tc>
        <w:tc>
          <w:tcPr>
            <w:tcW w:w="1645" w:type="dxa"/>
            <w:vAlign w:val="center"/>
          </w:tcPr>
          <w:p w14:paraId="1021088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028-86675314</w:t>
            </w:r>
          </w:p>
        </w:tc>
        <w:tc>
          <w:tcPr>
            <w:tcW w:w="1248" w:type="dxa"/>
            <w:shd w:val="clear" w:color="auto" w:fill="auto"/>
            <w:vAlign w:val="center"/>
          </w:tcPr>
          <w:p w14:paraId="7E5D9CF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2646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vAlign w:val="center"/>
          </w:tcPr>
          <w:p w14:paraId="227BB3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 w:eastAsia="zh-CN"/>
              </w:rPr>
            </w:pPr>
            <w:r>
              <w:rPr>
                <w:rFonts w:hint="eastAsia" w:ascii="Times New Roman" w:hAnsi="Times New Roman" w:eastAsia="仿宋_GB2312" w:cs="Times New Roman"/>
                <w:b w:val="0"/>
                <w:bCs w:val="0"/>
                <w:color w:val="auto"/>
                <w:kern w:val="2"/>
                <w:sz w:val="24"/>
                <w:szCs w:val="24"/>
                <w:u w:val="none" w:color="auto"/>
                <w:vertAlign w:val="baseline"/>
                <w:lang w:val="en-US" w:eastAsia="zh-CN" w:bidi="ar-SA"/>
              </w:rPr>
              <w:t>3</w:t>
            </w:r>
            <w:r>
              <w:rPr>
                <w:rFonts w:hint="default" w:ascii="Times New Roman" w:hAnsi="Times New Roman" w:eastAsia="仿宋_GB2312" w:cs="Times New Roman"/>
                <w:b w:val="0"/>
                <w:bCs w:val="0"/>
                <w:color w:val="auto"/>
                <w:kern w:val="2"/>
                <w:sz w:val="24"/>
                <w:szCs w:val="24"/>
                <w:u w:val="none" w:color="auto"/>
                <w:vertAlign w:val="baseline"/>
                <w:lang w:val="en" w:eastAsia="zh-CN" w:bidi="ar-SA"/>
              </w:rPr>
              <w:t>5</w:t>
            </w:r>
          </w:p>
        </w:tc>
        <w:tc>
          <w:tcPr>
            <w:tcW w:w="1814" w:type="dxa"/>
            <w:vAlign w:val="center"/>
          </w:tcPr>
          <w:p w14:paraId="5DEDD2C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四川省激励企业加大研发投入暂行办法</w:t>
            </w:r>
          </w:p>
        </w:tc>
        <w:tc>
          <w:tcPr>
            <w:tcW w:w="4390" w:type="dxa"/>
            <w:vAlign w:val="center"/>
          </w:tcPr>
          <w:p w14:paraId="6AFACF6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eastAsia" w:ascii="Times New Roman" w:hAnsi="Times New Roman" w:eastAsia="仿宋_GB2312" w:cs="Times New Roman"/>
                <w:b w:val="0"/>
                <w:bCs w:val="0"/>
                <w:color w:val="auto"/>
                <w:sz w:val="24"/>
                <w:szCs w:val="24"/>
                <w:u w:val="none" w:color="auto"/>
                <w:vertAlign w:val="baseline"/>
                <w:lang w:val="en-US" w:eastAsia="zh-CN"/>
              </w:rPr>
              <w:t>申报企业须满足《四川省激励企业加大研发投入暂行办法》</w:t>
            </w:r>
            <w:r>
              <w:rPr>
                <w:rFonts w:hint="default" w:ascii="Times New Roman" w:hAnsi="Times New Roman" w:eastAsia="仿宋_GB2312" w:cs="Times New Roman"/>
                <w:b w:val="0"/>
                <w:bCs w:val="0"/>
                <w:color w:val="auto"/>
                <w:sz w:val="24"/>
                <w:szCs w:val="24"/>
                <w:u w:val="none" w:color="auto"/>
                <w:vertAlign w:val="baseline"/>
                <w:lang w:val="en-US" w:eastAsia="zh-CN"/>
              </w:rPr>
              <w:t>第五条的条件，详见网页。</w:t>
            </w:r>
          </w:p>
        </w:tc>
        <w:tc>
          <w:tcPr>
            <w:tcW w:w="2527" w:type="dxa"/>
            <w:vAlign w:val="center"/>
          </w:tcPr>
          <w:p w14:paraId="6C5F20F1">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https://kjt.sc.gov.cn//kjt/xzgfxwj/2026/5/25/cd373c74f9574cafa05e0f495d329bd3.shtml</w:t>
            </w:r>
          </w:p>
        </w:tc>
        <w:tc>
          <w:tcPr>
            <w:tcW w:w="2734" w:type="dxa"/>
            <w:vAlign w:val="center"/>
          </w:tcPr>
          <w:p w14:paraId="4C2C337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产业处</w:t>
            </w:r>
          </w:p>
        </w:tc>
        <w:tc>
          <w:tcPr>
            <w:tcW w:w="1645" w:type="dxa"/>
            <w:vAlign w:val="center"/>
          </w:tcPr>
          <w:p w14:paraId="5B2A7B7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028-86668923</w:t>
            </w:r>
          </w:p>
        </w:tc>
        <w:tc>
          <w:tcPr>
            <w:tcW w:w="1248" w:type="dxa"/>
            <w:shd w:val="clear" w:color="auto" w:fill="auto"/>
            <w:vAlign w:val="center"/>
          </w:tcPr>
          <w:p w14:paraId="0EB49A8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48FE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5156" w:type="dxa"/>
            <w:gridSpan w:val="7"/>
            <w:vAlign w:val="center"/>
          </w:tcPr>
          <w:p w14:paraId="45C118B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楷体_GB2312" w:cs="Times New Roman"/>
                <w:b w:val="0"/>
                <w:bCs w:val="0"/>
                <w:color w:val="auto"/>
                <w:sz w:val="24"/>
                <w:szCs w:val="24"/>
                <w:u w:val="none" w:color="auto"/>
                <w:vertAlign w:val="baseline"/>
                <w:lang w:val="en-US" w:eastAsia="zh-CN"/>
              </w:rPr>
              <w:t>四、科技奖励（5项）</w:t>
            </w:r>
          </w:p>
        </w:tc>
      </w:tr>
      <w:tr w14:paraId="2048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798" w:type="dxa"/>
            <w:vAlign w:val="center"/>
          </w:tcPr>
          <w:p w14:paraId="3D7AB07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 w:eastAsia="zh-CN"/>
              </w:rPr>
            </w:pPr>
            <w:r>
              <w:rPr>
                <w:rFonts w:hint="eastAsia" w:ascii="Times New Roman" w:hAnsi="Times New Roman" w:eastAsia="仿宋_GB2312" w:cs="Times New Roman"/>
                <w:b w:val="0"/>
                <w:bCs w:val="0"/>
                <w:color w:val="auto"/>
                <w:sz w:val="24"/>
                <w:szCs w:val="24"/>
                <w:u w:val="none" w:color="auto"/>
                <w:vertAlign w:val="baseline"/>
                <w:lang w:val="en-US" w:eastAsia="zh-CN"/>
              </w:rPr>
              <w:t>3</w:t>
            </w:r>
            <w:r>
              <w:rPr>
                <w:rFonts w:hint="default" w:ascii="Times New Roman" w:hAnsi="Times New Roman" w:eastAsia="仿宋_GB2312" w:cs="Times New Roman"/>
                <w:b w:val="0"/>
                <w:bCs w:val="0"/>
                <w:color w:val="auto"/>
                <w:sz w:val="24"/>
                <w:szCs w:val="24"/>
                <w:u w:val="none" w:color="auto"/>
                <w:vertAlign w:val="baseline"/>
                <w:lang w:val="en" w:eastAsia="zh-CN"/>
              </w:rPr>
              <w:t>6</w:t>
            </w:r>
          </w:p>
        </w:tc>
        <w:tc>
          <w:tcPr>
            <w:tcW w:w="1814" w:type="dxa"/>
            <w:shd w:val="clear" w:color="auto" w:fill="auto"/>
            <w:vAlign w:val="center"/>
          </w:tcPr>
          <w:p w14:paraId="37A1E26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四川省科学技术奖励办法</w:t>
            </w:r>
          </w:p>
        </w:tc>
        <w:tc>
          <w:tcPr>
            <w:tcW w:w="4390" w:type="dxa"/>
            <w:shd w:val="clear" w:color="auto" w:fill="auto"/>
            <w:vAlign w:val="center"/>
          </w:tcPr>
          <w:p w14:paraId="7C37E66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适用于四川省科学技术奖的组织、提名、评审、授予等工作。</w:t>
            </w:r>
          </w:p>
        </w:tc>
        <w:tc>
          <w:tcPr>
            <w:tcW w:w="2527" w:type="dxa"/>
            <w:shd w:val="clear" w:color="auto" w:fill="auto"/>
            <w:vAlign w:val="center"/>
          </w:tcPr>
          <w:p w14:paraId="529D254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https://www.sc.gov.cn/10462/c108923/2024/5/17/0c080b70622a45509458148877f86558.shtml</w:t>
            </w:r>
          </w:p>
        </w:tc>
        <w:tc>
          <w:tcPr>
            <w:tcW w:w="2734" w:type="dxa"/>
            <w:shd w:val="clear" w:color="auto" w:fill="auto"/>
            <w:vAlign w:val="center"/>
          </w:tcPr>
          <w:p w14:paraId="6F7A106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人才处</w:t>
            </w:r>
          </w:p>
        </w:tc>
        <w:tc>
          <w:tcPr>
            <w:tcW w:w="1645" w:type="dxa"/>
            <w:shd w:val="clear" w:color="auto" w:fill="auto"/>
            <w:vAlign w:val="center"/>
          </w:tcPr>
          <w:p w14:paraId="551DE64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028-8672</w:t>
            </w:r>
            <w:r>
              <w:rPr>
                <w:rFonts w:hint="eastAsia" w:ascii="Times New Roman" w:hAnsi="Times New Roman" w:eastAsia="仿宋_GB2312" w:cs="Times New Roman"/>
                <w:b w:val="0"/>
                <w:bCs w:val="0"/>
                <w:color w:val="auto"/>
                <w:kern w:val="2"/>
                <w:sz w:val="24"/>
                <w:szCs w:val="24"/>
                <w:u w:val="none" w:color="auto"/>
                <w:vertAlign w:val="baseline"/>
                <w:lang w:val="en-US" w:eastAsia="zh-CN" w:bidi="ar-SA"/>
              </w:rPr>
              <w:t>0583</w:t>
            </w:r>
          </w:p>
        </w:tc>
        <w:tc>
          <w:tcPr>
            <w:tcW w:w="1248" w:type="dxa"/>
            <w:shd w:val="clear" w:color="auto" w:fill="auto"/>
            <w:vAlign w:val="center"/>
          </w:tcPr>
          <w:p w14:paraId="0E8636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49B2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98" w:type="dxa"/>
            <w:shd w:val="clear" w:color="auto" w:fill="auto"/>
            <w:vAlign w:val="center"/>
          </w:tcPr>
          <w:p w14:paraId="367F92E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sz w:val="24"/>
                <w:szCs w:val="24"/>
                <w:u w:val="none" w:color="auto"/>
                <w:vertAlign w:val="baseline"/>
                <w:lang w:val="en-US" w:eastAsia="zh-CN"/>
              </w:rPr>
              <w:t>3</w:t>
            </w:r>
            <w:r>
              <w:rPr>
                <w:rFonts w:hint="default" w:ascii="Times New Roman" w:hAnsi="Times New Roman" w:eastAsia="仿宋_GB2312" w:cs="Times New Roman"/>
                <w:b w:val="0"/>
                <w:bCs w:val="0"/>
                <w:color w:val="auto"/>
                <w:sz w:val="24"/>
                <w:szCs w:val="24"/>
                <w:u w:val="none" w:color="auto"/>
                <w:vertAlign w:val="baseline"/>
                <w:lang w:val="en" w:eastAsia="zh-CN"/>
              </w:rPr>
              <w:t>7</w:t>
            </w:r>
          </w:p>
        </w:tc>
        <w:tc>
          <w:tcPr>
            <w:tcW w:w="1814" w:type="dxa"/>
            <w:shd w:val="clear" w:color="auto" w:fill="auto"/>
            <w:vAlign w:val="center"/>
          </w:tcPr>
          <w:p w14:paraId="6A34EC4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四川省科学技术奖励办法实施细则</w:t>
            </w:r>
          </w:p>
        </w:tc>
        <w:tc>
          <w:tcPr>
            <w:tcW w:w="4390" w:type="dxa"/>
            <w:shd w:val="clear" w:color="auto" w:fill="auto"/>
            <w:vAlign w:val="center"/>
          </w:tcPr>
          <w:p w14:paraId="678C27E1">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适用于四川省科学技术奖的组织、提名、评审、授予等工作。</w:t>
            </w:r>
          </w:p>
        </w:tc>
        <w:tc>
          <w:tcPr>
            <w:tcW w:w="2527" w:type="dxa"/>
            <w:shd w:val="clear" w:color="auto" w:fill="auto"/>
            <w:vAlign w:val="center"/>
          </w:tcPr>
          <w:p w14:paraId="4750281C">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https://kjt.sc.gov.cn//kjt/xzgfxwj/2024/6/14/7a191d2774524975adc6afcd2dfe6cc6.shtml</w:t>
            </w:r>
          </w:p>
        </w:tc>
        <w:tc>
          <w:tcPr>
            <w:tcW w:w="2734" w:type="dxa"/>
            <w:shd w:val="clear" w:color="auto" w:fill="auto"/>
            <w:vAlign w:val="center"/>
          </w:tcPr>
          <w:p w14:paraId="14F26C1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人才处</w:t>
            </w:r>
          </w:p>
        </w:tc>
        <w:tc>
          <w:tcPr>
            <w:tcW w:w="1645" w:type="dxa"/>
            <w:shd w:val="clear" w:color="auto" w:fill="auto"/>
            <w:vAlign w:val="center"/>
          </w:tcPr>
          <w:p w14:paraId="7A08FDD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028-86723271</w:t>
            </w:r>
          </w:p>
        </w:tc>
        <w:tc>
          <w:tcPr>
            <w:tcW w:w="1248" w:type="dxa"/>
            <w:shd w:val="clear" w:color="auto" w:fill="auto"/>
            <w:vAlign w:val="center"/>
          </w:tcPr>
          <w:p w14:paraId="66208EC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1B4B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98" w:type="dxa"/>
            <w:shd w:val="clear" w:color="auto" w:fill="auto"/>
            <w:vAlign w:val="center"/>
          </w:tcPr>
          <w:p w14:paraId="35BFA0D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sz w:val="24"/>
                <w:szCs w:val="24"/>
                <w:u w:val="none" w:color="auto"/>
                <w:vertAlign w:val="baseline"/>
                <w:lang w:val="en-US" w:eastAsia="zh-CN"/>
              </w:rPr>
              <w:t>3</w:t>
            </w:r>
            <w:r>
              <w:rPr>
                <w:rFonts w:hint="default" w:ascii="Times New Roman" w:hAnsi="Times New Roman" w:eastAsia="仿宋_GB2312" w:cs="Times New Roman"/>
                <w:b w:val="0"/>
                <w:bCs w:val="0"/>
                <w:color w:val="auto"/>
                <w:sz w:val="24"/>
                <w:szCs w:val="24"/>
                <w:u w:val="none" w:color="auto"/>
                <w:vertAlign w:val="baseline"/>
                <w:lang w:val="en" w:eastAsia="zh-CN"/>
              </w:rPr>
              <w:t>8</w:t>
            </w:r>
          </w:p>
        </w:tc>
        <w:tc>
          <w:tcPr>
            <w:tcW w:w="1814" w:type="dxa"/>
            <w:vAlign w:val="center"/>
          </w:tcPr>
          <w:p w14:paraId="56D636D5">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四川省科学技术奖提名办法</w:t>
            </w:r>
          </w:p>
        </w:tc>
        <w:tc>
          <w:tcPr>
            <w:tcW w:w="4390" w:type="dxa"/>
            <w:vAlign w:val="center"/>
          </w:tcPr>
          <w:p w14:paraId="5D12C41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适用于四川省科学技术奖提名工作。</w:t>
            </w:r>
          </w:p>
        </w:tc>
        <w:tc>
          <w:tcPr>
            <w:tcW w:w="2527" w:type="dxa"/>
            <w:vAlign w:val="center"/>
          </w:tcPr>
          <w:p w14:paraId="2F4AF731">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https://kjt.sc.gov.cn//kjt/xzgfxwj/2025/11/20/03a265a868bf436795793dfc12a4aa02.shtml</w:t>
            </w:r>
          </w:p>
        </w:tc>
        <w:tc>
          <w:tcPr>
            <w:tcW w:w="2734" w:type="dxa"/>
            <w:vAlign w:val="center"/>
          </w:tcPr>
          <w:p w14:paraId="688BE19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人才处</w:t>
            </w:r>
          </w:p>
        </w:tc>
        <w:tc>
          <w:tcPr>
            <w:tcW w:w="1645" w:type="dxa"/>
            <w:vAlign w:val="center"/>
          </w:tcPr>
          <w:p w14:paraId="4F4D25D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028-86723271</w:t>
            </w:r>
          </w:p>
        </w:tc>
        <w:tc>
          <w:tcPr>
            <w:tcW w:w="1248" w:type="dxa"/>
            <w:shd w:val="clear" w:color="auto" w:fill="auto"/>
            <w:vAlign w:val="center"/>
          </w:tcPr>
          <w:p w14:paraId="6E3BF69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614F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798" w:type="dxa"/>
            <w:shd w:val="clear" w:color="auto" w:fill="auto"/>
            <w:vAlign w:val="center"/>
          </w:tcPr>
          <w:p w14:paraId="2268ECD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default" w:ascii="Times New Roman" w:hAnsi="Times New Roman" w:eastAsia="仿宋_GB2312" w:cs="Times New Roman"/>
                <w:b w:val="0"/>
                <w:bCs w:val="0"/>
                <w:color w:val="auto"/>
                <w:sz w:val="24"/>
                <w:szCs w:val="24"/>
                <w:u w:val="none" w:color="auto"/>
                <w:vertAlign w:val="baseline"/>
                <w:lang w:val="en" w:eastAsia="zh-CN"/>
              </w:rPr>
              <w:t>39</w:t>
            </w:r>
          </w:p>
        </w:tc>
        <w:tc>
          <w:tcPr>
            <w:tcW w:w="1814" w:type="dxa"/>
            <w:shd w:val="clear" w:color="auto" w:fill="auto"/>
            <w:vAlign w:val="center"/>
          </w:tcPr>
          <w:p w14:paraId="682C6450">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四川省科学技术奖异议处理规程</w:t>
            </w:r>
          </w:p>
        </w:tc>
        <w:tc>
          <w:tcPr>
            <w:tcW w:w="4390" w:type="dxa"/>
            <w:shd w:val="clear" w:color="auto" w:fill="auto"/>
            <w:vAlign w:val="center"/>
          </w:tcPr>
          <w:p w14:paraId="6984CC50">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适用于四川省科学技术奖异议处理工作。</w:t>
            </w:r>
          </w:p>
        </w:tc>
        <w:tc>
          <w:tcPr>
            <w:tcW w:w="2527" w:type="dxa"/>
            <w:shd w:val="clear" w:color="auto" w:fill="auto"/>
            <w:vAlign w:val="center"/>
          </w:tcPr>
          <w:p w14:paraId="17B20BFA">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https://kjt.sc.gov.cn//kjt/xzgfxwj/2025/11/20/03a265a868bf436795793dfc12a4aa02.shtml</w:t>
            </w:r>
          </w:p>
        </w:tc>
        <w:tc>
          <w:tcPr>
            <w:tcW w:w="2734" w:type="dxa"/>
            <w:shd w:val="clear" w:color="auto" w:fill="auto"/>
            <w:vAlign w:val="center"/>
          </w:tcPr>
          <w:p w14:paraId="6D5D6964">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人才处</w:t>
            </w:r>
          </w:p>
        </w:tc>
        <w:tc>
          <w:tcPr>
            <w:tcW w:w="1645" w:type="dxa"/>
            <w:vAlign w:val="center"/>
          </w:tcPr>
          <w:p w14:paraId="358062D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028-86723271</w:t>
            </w:r>
          </w:p>
        </w:tc>
        <w:tc>
          <w:tcPr>
            <w:tcW w:w="1248" w:type="dxa"/>
            <w:shd w:val="clear" w:color="auto" w:fill="auto"/>
            <w:vAlign w:val="center"/>
          </w:tcPr>
          <w:p w14:paraId="6CEF8A7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2871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shd w:val="clear" w:color="auto" w:fill="auto"/>
            <w:vAlign w:val="center"/>
          </w:tcPr>
          <w:p w14:paraId="12091E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sz w:val="24"/>
                <w:szCs w:val="24"/>
                <w:u w:val="none" w:color="auto"/>
                <w:vertAlign w:val="baseline"/>
                <w:lang w:val="en-US" w:eastAsia="zh-CN"/>
              </w:rPr>
              <w:t>4</w:t>
            </w:r>
            <w:r>
              <w:rPr>
                <w:rFonts w:hint="default" w:ascii="Times New Roman" w:hAnsi="Times New Roman" w:eastAsia="仿宋_GB2312" w:cs="Times New Roman"/>
                <w:b w:val="0"/>
                <w:bCs w:val="0"/>
                <w:color w:val="auto"/>
                <w:sz w:val="24"/>
                <w:szCs w:val="24"/>
                <w:u w:val="none" w:color="auto"/>
                <w:vertAlign w:val="baseline"/>
                <w:lang w:val="en" w:eastAsia="zh-CN"/>
              </w:rPr>
              <w:t>0</w:t>
            </w:r>
          </w:p>
        </w:tc>
        <w:tc>
          <w:tcPr>
            <w:tcW w:w="1814" w:type="dxa"/>
            <w:vAlign w:val="center"/>
          </w:tcPr>
          <w:p w14:paraId="623AA74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四川省社会力量设立科学技术奖管理办法（试行）</w:t>
            </w:r>
          </w:p>
        </w:tc>
        <w:tc>
          <w:tcPr>
            <w:tcW w:w="4390" w:type="dxa"/>
            <w:vAlign w:val="center"/>
          </w:tcPr>
          <w:p w14:paraId="6FB45725">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适用于四川省社会科技奖的设立、运行、指导服务和监督管理等工作。</w:t>
            </w:r>
          </w:p>
        </w:tc>
        <w:tc>
          <w:tcPr>
            <w:tcW w:w="2527" w:type="dxa"/>
            <w:vAlign w:val="center"/>
          </w:tcPr>
          <w:p w14:paraId="42D8C9C4">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https://kjt.sc.gov.cn/kjt/xzgfxwj/2025/5/26/1da71833eea94d7aa5ad91ecedc80436.shtml</w:t>
            </w:r>
          </w:p>
        </w:tc>
        <w:tc>
          <w:tcPr>
            <w:tcW w:w="2734" w:type="dxa"/>
            <w:vAlign w:val="center"/>
          </w:tcPr>
          <w:p w14:paraId="04ECCCB5">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人才处</w:t>
            </w:r>
          </w:p>
        </w:tc>
        <w:tc>
          <w:tcPr>
            <w:tcW w:w="1645" w:type="dxa"/>
            <w:vAlign w:val="center"/>
          </w:tcPr>
          <w:p w14:paraId="17490C8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028-86723271</w:t>
            </w:r>
          </w:p>
        </w:tc>
        <w:tc>
          <w:tcPr>
            <w:tcW w:w="1248" w:type="dxa"/>
            <w:shd w:val="clear" w:color="auto" w:fill="auto"/>
            <w:vAlign w:val="center"/>
          </w:tcPr>
          <w:p w14:paraId="2EEC79A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7B02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156" w:type="dxa"/>
            <w:gridSpan w:val="7"/>
            <w:vAlign w:val="center"/>
          </w:tcPr>
          <w:p w14:paraId="2F216D9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楷体_GB2312" w:cs="Times New Roman"/>
                <w:b w:val="0"/>
                <w:bCs w:val="0"/>
                <w:color w:val="auto"/>
                <w:sz w:val="24"/>
                <w:szCs w:val="24"/>
                <w:u w:val="none" w:color="auto"/>
                <w:vertAlign w:val="baseline"/>
                <w:lang w:val="en-US" w:eastAsia="zh-CN"/>
              </w:rPr>
              <w:t>五、其他（</w:t>
            </w:r>
            <w:r>
              <w:rPr>
                <w:rFonts w:hint="eastAsia" w:ascii="Times New Roman" w:hAnsi="Times New Roman" w:eastAsia="楷体_GB2312" w:cs="Times New Roman"/>
                <w:b w:val="0"/>
                <w:bCs w:val="0"/>
                <w:color w:val="auto"/>
                <w:sz w:val="24"/>
                <w:szCs w:val="24"/>
                <w:u w:val="none" w:color="auto"/>
                <w:vertAlign w:val="baseline"/>
                <w:lang w:val="en-US" w:eastAsia="zh-CN"/>
              </w:rPr>
              <w:t>22</w:t>
            </w:r>
            <w:r>
              <w:rPr>
                <w:rFonts w:hint="default" w:ascii="Times New Roman" w:hAnsi="Times New Roman" w:eastAsia="楷体_GB2312" w:cs="Times New Roman"/>
                <w:b w:val="0"/>
                <w:bCs w:val="0"/>
                <w:color w:val="auto"/>
                <w:sz w:val="24"/>
                <w:szCs w:val="24"/>
                <w:u w:val="none" w:color="auto"/>
                <w:vertAlign w:val="baseline"/>
                <w:lang w:val="en-US" w:eastAsia="zh-CN"/>
              </w:rPr>
              <w:t>项）</w:t>
            </w:r>
          </w:p>
        </w:tc>
      </w:tr>
      <w:tr w14:paraId="1570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798" w:type="dxa"/>
            <w:vAlign w:val="center"/>
          </w:tcPr>
          <w:p w14:paraId="5AB7EB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 w:eastAsia="zh-CN"/>
              </w:rPr>
            </w:pPr>
            <w:r>
              <w:rPr>
                <w:rFonts w:hint="eastAsia" w:ascii="Times New Roman" w:hAnsi="Times New Roman" w:eastAsia="仿宋_GB2312" w:cs="Times New Roman"/>
                <w:b w:val="0"/>
                <w:bCs w:val="0"/>
                <w:color w:val="auto"/>
                <w:kern w:val="2"/>
                <w:sz w:val="24"/>
                <w:szCs w:val="24"/>
                <w:u w:val="none" w:color="auto"/>
                <w:vertAlign w:val="baseline"/>
                <w:lang w:val="en-US" w:eastAsia="zh-CN" w:bidi="ar-SA"/>
              </w:rPr>
              <w:t>4</w:t>
            </w:r>
            <w:r>
              <w:rPr>
                <w:rFonts w:hint="default" w:ascii="Times New Roman" w:hAnsi="Times New Roman" w:eastAsia="仿宋_GB2312" w:cs="Times New Roman"/>
                <w:b w:val="0"/>
                <w:bCs w:val="0"/>
                <w:color w:val="auto"/>
                <w:kern w:val="2"/>
                <w:sz w:val="24"/>
                <w:szCs w:val="24"/>
                <w:u w:val="none" w:color="auto"/>
                <w:vertAlign w:val="baseline"/>
                <w:lang w:val="en" w:eastAsia="zh-CN" w:bidi="ar-SA"/>
              </w:rPr>
              <w:t>1</w:t>
            </w:r>
          </w:p>
        </w:tc>
        <w:tc>
          <w:tcPr>
            <w:tcW w:w="1814" w:type="dxa"/>
            <w:shd w:val="clear" w:color="auto" w:fill="auto"/>
            <w:vAlign w:val="center"/>
          </w:tcPr>
          <w:p w14:paraId="4897CFFC">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四川省自然科学工程技术人员职称申报评审基本条件</w:t>
            </w:r>
          </w:p>
        </w:tc>
        <w:tc>
          <w:tcPr>
            <w:tcW w:w="4390" w:type="dxa"/>
            <w:shd w:val="clear" w:color="auto" w:fill="auto"/>
            <w:vAlign w:val="center"/>
          </w:tcPr>
          <w:p w14:paraId="2479297A">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适用于在我省实际从事自然科学工程技术工作的专业技术人员。</w:t>
            </w:r>
          </w:p>
        </w:tc>
        <w:tc>
          <w:tcPr>
            <w:tcW w:w="2527" w:type="dxa"/>
            <w:shd w:val="clear" w:color="auto" w:fill="auto"/>
            <w:vAlign w:val="center"/>
          </w:tcPr>
          <w:p w14:paraId="006E1FE2">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https://kjt.sc.gov.cn/kjt/xzgfxwj/2025/5/19/dd9db2a2f8854d3790920fc3b621c034.shtml</w:t>
            </w:r>
          </w:p>
        </w:tc>
        <w:tc>
          <w:tcPr>
            <w:tcW w:w="2734" w:type="dxa"/>
            <w:shd w:val="clear" w:color="auto" w:fill="auto"/>
            <w:vAlign w:val="center"/>
          </w:tcPr>
          <w:p w14:paraId="363D934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人才处</w:t>
            </w:r>
          </w:p>
        </w:tc>
        <w:tc>
          <w:tcPr>
            <w:tcW w:w="1645" w:type="dxa"/>
            <w:vAlign w:val="center"/>
          </w:tcPr>
          <w:p w14:paraId="5385E97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028-86663608</w:t>
            </w:r>
          </w:p>
        </w:tc>
        <w:tc>
          <w:tcPr>
            <w:tcW w:w="1248" w:type="dxa"/>
            <w:shd w:val="clear" w:color="auto" w:fill="auto"/>
            <w:vAlign w:val="center"/>
          </w:tcPr>
          <w:p w14:paraId="5552C48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08FA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798" w:type="dxa"/>
            <w:shd w:val="clear" w:color="auto" w:fill="auto"/>
            <w:vAlign w:val="center"/>
          </w:tcPr>
          <w:p w14:paraId="4C50E1F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sz w:val="24"/>
                <w:szCs w:val="24"/>
                <w:u w:val="none" w:color="auto"/>
                <w:vertAlign w:val="baseline"/>
                <w:lang w:val="en-US" w:eastAsia="zh-CN"/>
              </w:rPr>
              <w:t>4</w:t>
            </w:r>
            <w:r>
              <w:rPr>
                <w:rFonts w:hint="default" w:ascii="Times New Roman" w:hAnsi="Times New Roman" w:eastAsia="仿宋_GB2312" w:cs="Times New Roman"/>
                <w:b w:val="0"/>
                <w:bCs w:val="0"/>
                <w:color w:val="auto"/>
                <w:sz w:val="24"/>
                <w:szCs w:val="24"/>
                <w:u w:val="none" w:color="auto"/>
                <w:vertAlign w:val="baseline"/>
                <w:lang w:val="en" w:eastAsia="zh-CN"/>
              </w:rPr>
              <w:t>2</w:t>
            </w:r>
          </w:p>
        </w:tc>
        <w:tc>
          <w:tcPr>
            <w:tcW w:w="1814" w:type="dxa"/>
            <w:shd w:val="clear" w:color="auto" w:fill="auto"/>
            <w:vAlign w:val="center"/>
          </w:tcPr>
          <w:p w14:paraId="73C66C1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四川省实验动物管理办法</w:t>
            </w:r>
          </w:p>
        </w:tc>
        <w:tc>
          <w:tcPr>
            <w:tcW w:w="4390" w:type="dxa"/>
            <w:shd w:val="clear" w:color="auto" w:fill="auto"/>
            <w:vAlign w:val="center"/>
          </w:tcPr>
          <w:p w14:paraId="255B446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适用本省行政区域内实验动物及相关产品的生产、使用及其监督管理。</w:t>
            </w:r>
          </w:p>
        </w:tc>
        <w:tc>
          <w:tcPr>
            <w:tcW w:w="2527" w:type="dxa"/>
            <w:shd w:val="clear" w:color="auto" w:fill="auto"/>
            <w:vAlign w:val="center"/>
          </w:tcPr>
          <w:p w14:paraId="69D13371">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https://kjt.sc.gov.cn/kjt/xzgfxwj/2025/1/21/8bd82cc7eecc4d63ac325b3c7a84bf09.shtml</w:t>
            </w:r>
          </w:p>
        </w:tc>
        <w:tc>
          <w:tcPr>
            <w:tcW w:w="2734" w:type="dxa"/>
            <w:shd w:val="clear" w:color="auto" w:fill="auto"/>
            <w:vAlign w:val="center"/>
          </w:tcPr>
          <w:p w14:paraId="1027C24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政策法规处</w:t>
            </w:r>
          </w:p>
        </w:tc>
        <w:tc>
          <w:tcPr>
            <w:tcW w:w="1645" w:type="dxa"/>
            <w:vAlign w:val="center"/>
          </w:tcPr>
          <w:p w14:paraId="7349B1D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028-86676522</w:t>
            </w:r>
          </w:p>
        </w:tc>
        <w:tc>
          <w:tcPr>
            <w:tcW w:w="1248" w:type="dxa"/>
            <w:shd w:val="clear" w:color="auto" w:fill="auto"/>
            <w:vAlign w:val="center"/>
          </w:tcPr>
          <w:p w14:paraId="387ED37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09A5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shd w:val="clear" w:color="auto" w:fill="auto"/>
            <w:vAlign w:val="center"/>
          </w:tcPr>
          <w:p w14:paraId="43DEEC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kern w:val="2"/>
                <w:sz w:val="24"/>
                <w:szCs w:val="24"/>
                <w:u w:val="none" w:color="auto"/>
                <w:vertAlign w:val="baseline"/>
                <w:lang w:val="en-US" w:eastAsia="zh-CN" w:bidi="ar-SA"/>
              </w:rPr>
              <w:t>4</w:t>
            </w:r>
            <w:r>
              <w:rPr>
                <w:rFonts w:hint="default" w:ascii="Times New Roman" w:hAnsi="Times New Roman" w:eastAsia="仿宋_GB2312" w:cs="Times New Roman"/>
                <w:b w:val="0"/>
                <w:bCs w:val="0"/>
                <w:color w:val="auto"/>
                <w:kern w:val="2"/>
                <w:sz w:val="24"/>
                <w:szCs w:val="24"/>
                <w:u w:val="none" w:color="auto"/>
                <w:vertAlign w:val="baseline"/>
                <w:lang w:val="en" w:eastAsia="zh-CN" w:bidi="ar-SA"/>
              </w:rPr>
              <w:t>3</w:t>
            </w:r>
          </w:p>
        </w:tc>
        <w:tc>
          <w:tcPr>
            <w:tcW w:w="1814" w:type="dxa"/>
            <w:vAlign w:val="center"/>
          </w:tcPr>
          <w:p w14:paraId="3E2DD80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四川省实验动物许可证管理细则</w:t>
            </w:r>
          </w:p>
        </w:tc>
        <w:tc>
          <w:tcPr>
            <w:tcW w:w="4390" w:type="dxa"/>
            <w:vAlign w:val="center"/>
          </w:tcPr>
          <w:p w14:paraId="0BBC755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适用于四川省行政区域内实验动物许可证的申请、受理、审批、发放、监督、管理等工作。</w:t>
            </w:r>
          </w:p>
        </w:tc>
        <w:tc>
          <w:tcPr>
            <w:tcW w:w="2527" w:type="dxa"/>
            <w:vAlign w:val="center"/>
          </w:tcPr>
          <w:p w14:paraId="0F128B1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https://kjt.sc.gov.cn/kjt/xzgfxwj/2026/3/26/cb5e34c1f388457782d223306da38468.shtml</w:t>
            </w:r>
          </w:p>
        </w:tc>
        <w:tc>
          <w:tcPr>
            <w:tcW w:w="2734" w:type="dxa"/>
            <w:vAlign w:val="center"/>
          </w:tcPr>
          <w:p w14:paraId="7FB5C6C0">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政策法规处</w:t>
            </w:r>
          </w:p>
        </w:tc>
        <w:tc>
          <w:tcPr>
            <w:tcW w:w="1645" w:type="dxa"/>
            <w:vAlign w:val="center"/>
          </w:tcPr>
          <w:p w14:paraId="454FCC6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028-86676522</w:t>
            </w:r>
          </w:p>
        </w:tc>
        <w:tc>
          <w:tcPr>
            <w:tcW w:w="1248" w:type="dxa"/>
            <w:shd w:val="clear" w:color="auto" w:fill="auto"/>
            <w:vAlign w:val="center"/>
          </w:tcPr>
          <w:p w14:paraId="5EA47E8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1121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shd w:val="clear" w:color="auto" w:fill="auto"/>
            <w:vAlign w:val="center"/>
          </w:tcPr>
          <w:p w14:paraId="13A46C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sz w:val="24"/>
                <w:szCs w:val="24"/>
                <w:u w:val="none" w:color="auto"/>
                <w:vertAlign w:val="baseline"/>
                <w:lang w:val="en-US" w:eastAsia="zh-CN"/>
              </w:rPr>
              <w:t>4</w:t>
            </w:r>
            <w:r>
              <w:rPr>
                <w:rFonts w:hint="default" w:ascii="Times New Roman" w:hAnsi="Times New Roman" w:eastAsia="仿宋_GB2312" w:cs="Times New Roman"/>
                <w:b w:val="0"/>
                <w:bCs w:val="0"/>
                <w:color w:val="auto"/>
                <w:sz w:val="24"/>
                <w:szCs w:val="24"/>
                <w:u w:val="none" w:color="auto"/>
                <w:vertAlign w:val="baseline"/>
                <w:lang w:val="en" w:eastAsia="zh-CN"/>
              </w:rPr>
              <w:t>4</w:t>
            </w:r>
          </w:p>
        </w:tc>
        <w:tc>
          <w:tcPr>
            <w:tcW w:w="1814" w:type="dxa"/>
            <w:vAlign w:val="center"/>
          </w:tcPr>
          <w:p w14:paraId="7DB2DDF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四川省职务科技成果“先使用后付费”操作指引（试行）</w:t>
            </w:r>
          </w:p>
        </w:tc>
        <w:tc>
          <w:tcPr>
            <w:tcW w:w="4390" w:type="dxa"/>
            <w:vAlign w:val="center"/>
          </w:tcPr>
          <w:p w14:paraId="44AA663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适用于省内高校、科研院所和医疗卫生机构，以及承接科研单位职务科技成果的中小微企业；中央在川高校、科研院所和医疗卫生机构可参照执行本操作指引。</w:t>
            </w:r>
          </w:p>
        </w:tc>
        <w:tc>
          <w:tcPr>
            <w:tcW w:w="2527" w:type="dxa"/>
            <w:vAlign w:val="center"/>
          </w:tcPr>
          <w:p w14:paraId="6FDB639C">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https://kjt.sc.gov.cn/kjt/xzgfxwj/2026/3/13/491ab4fecc8e4636a3387f7cde254c19.shtml</w:t>
            </w:r>
          </w:p>
        </w:tc>
        <w:tc>
          <w:tcPr>
            <w:tcW w:w="2734" w:type="dxa"/>
            <w:vAlign w:val="center"/>
          </w:tcPr>
          <w:p w14:paraId="6A259FFA">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政策法规处</w:t>
            </w:r>
          </w:p>
        </w:tc>
        <w:tc>
          <w:tcPr>
            <w:tcW w:w="1645" w:type="dxa"/>
            <w:vAlign w:val="center"/>
          </w:tcPr>
          <w:p w14:paraId="41D3AB5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028-86710365</w:t>
            </w:r>
          </w:p>
        </w:tc>
        <w:tc>
          <w:tcPr>
            <w:tcW w:w="1248" w:type="dxa"/>
            <w:shd w:val="clear" w:color="auto" w:fill="auto"/>
            <w:vAlign w:val="center"/>
          </w:tcPr>
          <w:p w14:paraId="5084E63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0845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shd w:val="clear" w:color="auto" w:fill="auto"/>
            <w:vAlign w:val="center"/>
          </w:tcPr>
          <w:p w14:paraId="7F6FEB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sz w:val="24"/>
                <w:szCs w:val="24"/>
                <w:u w:val="none" w:color="auto"/>
                <w:vertAlign w:val="baseline"/>
                <w:lang w:val="en-US" w:eastAsia="zh-CN"/>
              </w:rPr>
              <w:t>4</w:t>
            </w:r>
            <w:r>
              <w:rPr>
                <w:rFonts w:hint="default" w:ascii="Times New Roman" w:hAnsi="Times New Roman" w:eastAsia="仿宋_GB2312" w:cs="Times New Roman"/>
                <w:b w:val="0"/>
                <w:bCs w:val="0"/>
                <w:color w:val="auto"/>
                <w:sz w:val="24"/>
                <w:szCs w:val="24"/>
                <w:u w:val="none" w:color="auto"/>
                <w:vertAlign w:val="baseline"/>
                <w:lang w:val="en" w:eastAsia="zh-CN"/>
              </w:rPr>
              <w:t>5</w:t>
            </w:r>
          </w:p>
        </w:tc>
        <w:tc>
          <w:tcPr>
            <w:tcW w:w="1814" w:type="dxa"/>
            <w:vAlign w:val="center"/>
          </w:tcPr>
          <w:p w14:paraId="596D3CCA">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四川省科技成果转化尽职免责工作指引（试行）</w:t>
            </w:r>
          </w:p>
        </w:tc>
        <w:tc>
          <w:tcPr>
            <w:tcW w:w="4390" w:type="dxa"/>
            <w:vAlign w:val="center"/>
          </w:tcPr>
          <w:p w14:paraId="0D5494D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适用于利用财政性资金设立的省属高等学校、科研院所、医疗卫生机构；中央在川高等学校、科研院所、国家实验室参照执行。</w:t>
            </w:r>
          </w:p>
        </w:tc>
        <w:tc>
          <w:tcPr>
            <w:tcW w:w="2527" w:type="dxa"/>
            <w:vAlign w:val="center"/>
          </w:tcPr>
          <w:p w14:paraId="545FF952">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https://kjt.sc.gov.cn//kjt/xzgfxwj/2025/11/10/37ee637a1bcf44319fed760469bedf2d.shtml</w:t>
            </w:r>
          </w:p>
        </w:tc>
        <w:tc>
          <w:tcPr>
            <w:tcW w:w="2734" w:type="dxa"/>
            <w:vAlign w:val="center"/>
          </w:tcPr>
          <w:p w14:paraId="36C4C7E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监督处</w:t>
            </w:r>
          </w:p>
        </w:tc>
        <w:tc>
          <w:tcPr>
            <w:tcW w:w="1645" w:type="dxa"/>
            <w:vAlign w:val="center"/>
          </w:tcPr>
          <w:p w14:paraId="02EB43C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028-86669053</w:t>
            </w:r>
          </w:p>
        </w:tc>
        <w:tc>
          <w:tcPr>
            <w:tcW w:w="1248" w:type="dxa"/>
            <w:shd w:val="clear" w:color="auto" w:fill="auto"/>
            <w:vAlign w:val="center"/>
          </w:tcPr>
          <w:p w14:paraId="07AC19A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4378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798" w:type="dxa"/>
            <w:shd w:val="clear" w:color="auto" w:fill="auto"/>
            <w:vAlign w:val="center"/>
          </w:tcPr>
          <w:p w14:paraId="3B74411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sz w:val="24"/>
                <w:szCs w:val="24"/>
                <w:u w:val="none" w:color="auto"/>
                <w:vertAlign w:val="baseline"/>
                <w:lang w:val="en-US" w:eastAsia="zh-CN"/>
              </w:rPr>
              <w:t>4</w:t>
            </w:r>
            <w:r>
              <w:rPr>
                <w:rFonts w:hint="default" w:ascii="Times New Roman" w:hAnsi="Times New Roman" w:eastAsia="仿宋_GB2312" w:cs="Times New Roman"/>
                <w:b w:val="0"/>
                <w:bCs w:val="0"/>
                <w:color w:val="auto"/>
                <w:sz w:val="24"/>
                <w:szCs w:val="24"/>
                <w:u w:val="none" w:color="auto"/>
                <w:vertAlign w:val="baseline"/>
                <w:lang w:val="en" w:eastAsia="zh-CN"/>
              </w:rPr>
              <w:t>6</w:t>
            </w:r>
          </w:p>
        </w:tc>
        <w:tc>
          <w:tcPr>
            <w:tcW w:w="1814" w:type="dxa"/>
            <w:vAlign w:val="center"/>
          </w:tcPr>
          <w:p w14:paraId="0FEF749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rtl w:val="0"/>
                <w:lang w:val="en-US" w:eastAsia="zh-CN"/>
              </w:rPr>
              <w:t>四川省科学技术研究成果档案管理办法（试行）</w:t>
            </w:r>
          </w:p>
        </w:tc>
        <w:tc>
          <w:tcPr>
            <w:tcW w:w="4390" w:type="dxa"/>
            <w:vAlign w:val="center"/>
          </w:tcPr>
          <w:p w14:paraId="1238916E">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适用于省内各行业从事科学技术研究活动的组织开展的科技成果档案管理工作。</w:t>
            </w:r>
          </w:p>
        </w:tc>
        <w:tc>
          <w:tcPr>
            <w:tcW w:w="2527" w:type="dxa"/>
            <w:vAlign w:val="center"/>
          </w:tcPr>
          <w:p w14:paraId="740EE10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https://kjt.sc.gov.cn//kjt/xzgfxwj/2025/9/1/2e7deb102c1b4fa99cb630e31a331545.shtml</w:t>
            </w:r>
          </w:p>
        </w:tc>
        <w:tc>
          <w:tcPr>
            <w:tcW w:w="2734" w:type="dxa"/>
            <w:vAlign w:val="center"/>
          </w:tcPr>
          <w:p w14:paraId="7A595E8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省科技成果档案馆</w:t>
            </w:r>
          </w:p>
        </w:tc>
        <w:tc>
          <w:tcPr>
            <w:tcW w:w="1645" w:type="dxa"/>
            <w:vAlign w:val="center"/>
          </w:tcPr>
          <w:p w14:paraId="3167610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028-85533229</w:t>
            </w:r>
          </w:p>
        </w:tc>
        <w:tc>
          <w:tcPr>
            <w:tcW w:w="1248" w:type="dxa"/>
            <w:shd w:val="clear" w:color="auto" w:fill="auto"/>
            <w:vAlign w:val="center"/>
          </w:tcPr>
          <w:p w14:paraId="006639D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1E74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798" w:type="dxa"/>
            <w:shd w:val="clear" w:color="auto" w:fill="auto"/>
            <w:vAlign w:val="center"/>
          </w:tcPr>
          <w:p w14:paraId="6423F2A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sz w:val="24"/>
                <w:szCs w:val="24"/>
                <w:u w:val="none" w:color="auto"/>
                <w:vertAlign w:val="baseline"/>
                <w:lang w:val="en-US" w:eastAsia="zh-CN"/>
              </w:rPr>
              <w:t>4</w:t>
            </w:r>
            <w:r>
              <w:rPr>
                <w:rFonts w:hint="default" w:ascii="Times New Roman" w:hAnsi="Times New Roman" w:eastAsia="仿宋_GB2312" w:cs="Times New Roman"/>
                <w:b w:val="0"/>
                <w:bCs w:val="0"/>
                <w:color w:val="auto"/>
                <w:sz w:val="24"/>
                <w:szCs w:val="24"/>
                <w:u w:val="none" w:color="auto"/>
                <w:vertAlign w:val="baseline"/>
                <w:lang w:val="en" w:eastAsia="zh-CN"/>
              </w:rPr>
              <w:t>7</w:t>
            </w:r>
          </w:p>
        </w:tc>
        <w:tc>
          <w:tcPr>
            <w:tcW w:w="1814" w:type="dxa"/>
            <w:vAlign w:val="center"/>
          </w:tcPr>
          <w:p w14:paraId="114AD835">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r>
              <w:rPr>
                <w:rFonts w:hint="default" w:ascii="Times New Roman" w:hAnsi="Times New Roman" w:eastAsia="仿宋_GB2312" w:cs="Times New Roman"/>
                <w:b w:val="0"/>
                <w:bCs w:val="0"/>
                <w:color w:val="auto"/>
                <w:kern w:val="2"/>
                <w:sz w:val="24"/>
                <w:szCs w:val="24"/>
                <w:highlight w:val="none"/>
                <w:u w:val="none" w:color="auto"/>
                <w:lang w:val="en-US" w:eastAsia="zh-CN" w:bidi="ar-SA"/>
              </w:rPr>
              <w:t>促进医疗卫生机构科技成果转移转化实施意见</w:t>
            </w:r>
          </w:p>
        </w:tc>
        <w:tc>
          <w:tcPr>
            <w:tcW w:w="4390" w:type="dxa"/>
            <w:vAlign w:val="center"/>
          </w:tcPr>
          <w:p w14:paraId="7C363E65">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r>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t>适用于我省从事医疗卫生科研活动的公立医疗卫生机构(以下简称医疗卫生机构)，中央单位在川医疗卫生机勾可以参照执行。</w:t>
            </w:r>
          </w:p>
        </w:tc>
        <w:tc>
          <w:tcPr>
            <w:tcW w:w="2527" w:type="dxa"/>
            <w:vAlign w:val="center"/>
          </w:tcPr>
          <w:p w14:paraId="40E85C22">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r>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t>https://kjt.sc.gov.cn//kjt/gstz/2025/9/12/a2c578a80cbd42769b4cb1c5868f9fa6.shtml</w:t>
            </w:r>
          </w:p>
        </w:tc>
        <w:tc>
          <w:tcPr>
            <w:tcW w:w="2734" w:type="dxa"/>
            <w:vAlign w:val="center"/>
          </w:tcPr>
          <w:p w14:paraId="354A9604">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r>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t>民生处</w:t>
            </w:r>
          </w:p>
        </w:tc>
        <w:tc>
          <w:tcPr>
            <w:tcW w:w="1645" w:type="dxa"/>
            <w:vAlign w:val="center"/>
          </w:tcPr>
          <w:p w14:paraId="0379132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028-86710813</w:t>
            </w:r>
          </w:p>
        </w:tc>
        <w:tc>
          <w:tcPr>
            <w:tcW w:w="1248" w:type="dxa"/>
            <w:shd w:val="clear" w:color="auto" w:fill="auto"/>
            <w:vAlign w:val="center"/>
          </w:tcPr>
          <w:p w14:paraId="5BB2218E">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jc w:val="left"/>
              <w:textAlignment w:val="auto"/>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p>
        </w:tc>
      </w:tr>
      <w:tr w14:paraId="614A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8" w:type="dxa"/>
            <w:shd w:val="clear" w:color="auto" w:fill="auto"/>
            <w:vAlign w:val="center"/>
          </w:tcPr>
          <w:p w14:paraId="4771A8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kern w:val="2"/>
                <w:sz w:val="24"/>
                <w:szCs w:val="24"/>
                <w:u w:val="none" w:color="auto"/>
                <w:vertAlign w:val="baseline"/>
                <w:lang w:val="en-US" w:eastAsia="zh-CN" w:bidi="ar-SA"/>
              </w:rPr>
              <w:t>4</w:t>
            </w:r>
            <w:r>
              <w:rPr>
                <w:rFonts w:hint="default" w:ascii="Times New Roman" w:hAnsi="Times New Roman" w:eastAsia="仿宋_GB2312" w:cs="Times New Roman"/>
                <w:b w:val="0"/>
                <w:bCs w:val="0"/>
                <w:color w:val="auto"/>
                <w:kern w:val="2"/>
                <w:sz w:val="24"/>
                <w:szCs w:val="24"/>
                <w:u w:val="none" w:color="auto"/>
                <w:vertAlign w:val="baseline"/>
                <w:lang w:val="en" w:eastAsia="zh-CN" w:bidi="ar-SA"/>
              </w:rPr>
              <w:t>8</w:t>
            </w:r>
          </w:p>
        </w:tc>
        <w:tc>
          <w:tcPr>
            <w:tcW w:w="1814" w:type="dxa"/>
            <w:vAlign w:val="center"/>
          </w:tcPr>
          <w:p w14:paraId="2264B1B0">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jc w:val="both"/>
              <w:textAlignment w:val="auto"/>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r>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t>中试项目审批流程优化及中试人才激励机制改革实施方案（试行）</w:t>
            </w:r>
          </w:p>
        </w:tc>
        <w:tc>
          <w:tcPr>
            <w:tcW w:w="4390" w:type="dxa"/>
            <w:vAlign w:val="center"/>
          </w:tcPr>
          <w:p w14:paraId="4FF71DC5">
            <w:pPr>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r>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t>适用于中试项目环评安评审批流程优化及中试人才激励。</w:t>
            </w:r>
          </w:p>
        </w:tc>
        <w:tc>
          <w:tcPr>
            <w:tcW w:w="2527" w:type="dxa"/>
            <w:vAlign w:val="center"/>
          </w:tcPr>
          <w:p w14:paraId="5A319721">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r>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t>https://kjt.sc.gov.cn//kjt/gstz/2025/6/16/e9c50464b87b4b52a45e4a3af949d359.shtml</w:t>
            </w:r>
          </w:p>
        </w:tc>
        <w:tc>
          <w:tcPr>
            <w:tcW w:w="2734" w:type="dxa"/>
            <w:vAlign w:val="center"/>
          </w:tcPr>
          <w:p w14:paraId="688303CA">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highlight w:val="none"/>
                <w:u w:val="none" w:color="auto"/>
                <w:lang w:val="en-US" w:eastAsia="zh-CN" w:bidi="ar-SA"/>
              </w:rPr>
            </w:pPr>
            <w:r>
              <w:rPr>
                <w:rFonts w:hint="default" w:ascii="Times New Roman" w:hAnsi="Times New Roman" w:eastAsia="仿宋_GB2312" w:cs="Times New Roman"/>
                <w:b w:val="0"/>
                <w:bCs w:val="0"/>
                <w:color w:val="auto"/>
                <w:sz w:val="24"/>
                <w:szCs w:val="24"/>
                <w:highlight w:val="none"/>
                <w:u w:val="none" w:color="auto"/>
                <w:lang w:val="en-US" w:eastAsia="zh-CN"/>
              </w:rPr>
              <w:t>政策法规处</w:t>
            </w:r>
          </w:p>
        </w:tc>
        <w:tc>
          <w:tcPr>
            <w:tcW w:w="1645" w:type="dxa"/>
            <w:vAlign w:val="center"/>
          </w:tcPr>
          <w:p w14:paraId="7072153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028-86710365</w:t>
            </w:r>
          </w:p>
        </w:tc>
        <w:tc>
          <w:tcPr>
            <w:tcW w:w="1248" w:type="dxa"/>
            <w:shd w:val="clear" w:color="auto" w:fill="auto"/>
            <w:vAlign w:val="center"/>
          </w:tcPr>
          <w:p w14:paraId="5954BA1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11A6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798" w:type="dxa"/>
            <w:shd w:val="clear" w:color="auto" w:fill="auto"/>
            <w:vAlign w:val="center"/>
          </w:tcPr>
          <w:p w14:paraId="0C515F1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 w:eastAsia="zh-CN" w:bidi="ar-SA"/>
              </w:rPr>
              <w:t>49</w:t>
            </w:r>
          </w:p>
        </w:tc>
        <w:tc>
          <w:tcPr>
            <w:tcW w:w="1814" w:type="dxa"/>
            <w:vAlign w:val="center"/>
          </w:tcPr>
          <w:p w14:paraId="21A8683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i w:val="0"/>
                <w:color w:val="auto"/>
                <w:kern w:val="0"/>
                <w:sz w:val="24"/>
                <w:szCs w:val="24"/>
                <w:u w:val="none" w:color="auto"/>
                <w:rtl w:val="0"/>
                <w:lang w:val="en-US" w:eastAsia="zh-CN" w:bidi="ar"/>
              </w:rPr>
            </w:pPr>
            <w:r>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t>四川省科技成果转化“一件事”实施方案</w:t>
            </w:r>
          </w:p>
        </w:tc>
        <w:tc>
          <w:tcPr>
            <w:tcW w:w="4390" w:type="dxa"/>
            <w:vAlign w:val="center"/>
          </w:tcPr>
          <w:p w14:paraId="70A470B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rtl w:val="0"/>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适用于企事业单位及科研人员科技成果转化“一件事”有关事项一站式办理。</w:t>
            </w:r>
          </w:p>
        </w:tc>
        <w:tc>
          <w:tcPr>
            <w:tcW w:w="2527" w:type="dxa"/>
            <w:vAlign w:val="center"/>
          </w:tcPr>
          <w:p w14:paraId="6C349D6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rtl w:val="0"/>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https://kjt.sc.gov.cn//kjt/gstz/2025/5/29/508450c946344e74b8402f8198f3002f.shtml</w:t>
            </w:r>
          </w:p>
        </w:tc>
        <w:tc>
          <w:tcPr>
            <w:tcW w:w="2734" w:type="dxa"/>
            <w:vAlign w:val="center"/>
          </w:tcPr>
          <w:p w14:paraId="0F6A645E">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highlight w:val="none"/>
                <w:u w:val="none" w:color="auto"/>
                <w:lang w:val="en-US" w:eastAsia="zh-CN" w:bidi="ar-SA"/>
              </w:rPr>
            </w:pPr>
            <w:r>
              <w:rPr>
                <w:rFonts w:hint="default" w:ascii="Times New Roman" w:hAnsi="Times New Roman" w:eastAsia="仿宋_GB2312" w:cs="Times New Roman"/>
                <w:b w:val="0"/>
                <w:bCs w:val="0"/>
                <w:color w:val="auto"/>
                <w:sz w:val="24"/>
                <w:szCs w:val="24"/>
                <w:highlight w:val="none"/>
                <w:u w:val="none" w:color="auto"/>
                <w:lang w:val="en-US" w:eastAsia="zh-CN"/>
              </w:rPr>
              <w:t>成果处</w:t>
            </w:r>
          </w:p>
        </w:tc>
        <w:tc>
          <w:tcPr>
            <w:tcW w:w="1645" w:type="dxa"/>
            <w:vAlign w:val="center"/>
          </w:tcPr>
          <w:p w14:paraId="197F825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028-86718879</w:t>
            </w:r>
          </w:p>
        </w:tc>
        <w:tc>
          <w:tcPr>
            <w:tcW w:w="1248" w:type="dxa"/>
            <w:shd w:val="clear" w:color="auto" w:fill="auto"/>
            <w:vAlign w:val="center"/>
          </w:tcPr>
          <w:p w14:paraId="2C92484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1E4C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98" w:type="dxa"/>
            <w:shd w:val="clear" w:color="auto" w:fill="auto"/>
            <w:vAlign w:val="center"/>
          </w:tcPr>
          <w:p w14:paraId="45BF1E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kern w:val="2"/>
                <w:sz w:val="24"/>
                <w:szCs w:val="24"/>
                <w:u w:val="none" w:color="auto"/>
                <w:vertAlign w:val="baseline"/>
                <w:lang w:val="en-US" w:eastAsia="zh-CN" w:bidi="ar-SA"/>
              </w:rPr>
              <w:t>5</w:t>
            </w:r>
            <w:r>
              <w:rPr>
                <w:rFonts w:hint="default" w:ascii="Times New Roman" w:hAnsi="Times New Roman" w:eastAsia="仿宋_GB2312" w:cs="Times New Roman"/>
                <w:b w:val="0"/>
                <w:bCs w:val="0"/>
                <w:color w:val="auto"/>
                <w:kern w:val="2"/>
                <w:sz w:val="24"/>
                <w:szCs w:val="24"/>
                <w:u w:val="none" w:color="auto"/>
                <w:vertAlign w:val="baseline"/>
                <w:lang w:val="en" w:eastAsia="zh-CN" w:bidi="ar-SA"/>
              </w:rPr>
              <w:t>0</w:t>
            </w:r>
          </w:p>
        </w:tc>
        <w:tc>
          <w:tcPr>
            <w:tcW w:w="1814" w:type="dxa"/>
            <w:shd w:val="clear" w:color="auto" w:fill="auto"/>
            <w:vAlign w:val="center"/>
          </w:tcPr>
          <w:p w14:paraId="242C6E94">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rtl w:val="0"/>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四川省职务科技成果单列管理操作指引（试行）</w:t>
            </w:r>
          </w:p>
        </w:tc>
        <w:tc>
          <w:tcPr>
            <w:tcW w:w="4390" w:type="dxa"/>
            <w:shd w:val="clear" w:color="auto" w:fill="auto"/>
            <w:vAlign w:val="center"/>
          </w:tcPr>
          <w:p w14:paraId="17E4FBE2">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rtl w:val="0"/>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适用于省内高校、科研院所和具有科研活动能力的医疗卫生机构；鼓励中央在川高校和科研院所争取中央资产管理职能部门支持，参照执行本指引。</w:t>
            </w:r>
          </w:p>
        </w:tc>
        <w:tc>
          <w:tcPr>
            <w:tcW w:w="2527" w:type="dxa"/>
            <w:shd w:val="clear" w:color="auto" w:fill="auto"/>
            <w:vAlign w:val="center"/>
          </w:tcPr>
          <w:p w14:paraId="55121D9E">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rtl w:val="0"/>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https://kjt.sc.gov.cn/kjt/xzgfxwj/2024/12/26/0653b53c016140ca93f2e8da0e67d27b.shtml</w:t>
            </w:r>
          </w:p>
        </w:tc>
        <w:tc>
          <w:tcPr>
            <w:tcW w:w="2734" w:type="dxa"/>
            <w:shd w:val="clear" w:color="auto" w:fill="auto"/>
            <w:vAlign w:val="center"/>
          </w:tcPr>
          <w:p w14:paraId="7BA34D6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政策法规处</w:t>
            </w:r>
          </w:p>
        </w:tc>
        <w:tc>
          <w:tcPr>
            <w:tcW w:w="1645" w:type="dxa"/>
            <w:shd w:val="clear" w:color="auto" w:fill="auto"/>
            <w:vAlign w:val="center"/>
          </w:tcPr>
          <w:p w14:paraId="1AFBECD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028-86710365</w:t>
            </w:r>
          </w:p>
        </w:tc>
        <w:tc>
          <w:tcPr>
            <w:tcW w:w="1248" w:type="dxa"/>
            <w:shd w:val="clear" w:color="auto" w:fill="auto"/>
            <w:vAlign w:val="center"/>
          </w:tcPr>
          <w:p w14:paraId="3764100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54D2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jc w:val="center"/>
        </w:trPr>
        <w:tc>
          <w:tcPr>
            <w:tcW w:w="798" w:type="dxa"/>
            <w:shd w:val="clear" w:color="auto" w:fill="auto"/>
            <w:vAlign w:val="center"/>
          </w:tcPr>
          <w:p w14:paraId="4140FC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kern w:val="2"/>
                <w:sz w:val="24"/>
                <w:szCs w:val="24"/>
                <w:u w:val="none" w:color="auto"/>
                <w:vertAlign w:val="baseline"/>
                <w:lang w:val="en-US" w:eastAsia="zh-CN" w:bidi="ar-SA"/>
              </w:rPr>
              <w:t>5</w:t>
            </w:r>
            <w:r>
              <w:rPr>
                <w:rFonts w:hint="default" w:ascii="Times New Roman" w:hAnsi="Times New Roman" w:eastAsia="仿宋_GB2312" w:cs="Times New Roman"/>
                <w:b w:val="0"/>
                <w:bCs w:val="0"/>
                <w:color w:val="auto"/>
                <w:kern w:val="2"/>
                <w:sz w:val="24"/>
                <w:szCs w:val="24"/>
                <w:u w:val="none" w:color="auto"/>
                <w:vertAlign w:val="baseline"/>
                <w:lang w:val="en" w:eastAsia="zh-CN" w:bidi="ar-SA"/>
              </w:rPr>
              <w:t>1</w:t>
            </w:r>
          </w:p>
        </w:tc>
        <w:tc>
          <w:tcPr>
            <w:tcW w:w="1814" w:type="dxa"/>
            <w:shd w:val="clear" w:color="auto" w:fill="auto"/>
            <w:vAlign w:val="center"/>
          </w:tcPr>
          <w:p w14:paraId="48784FC8">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default" w:ascii="Times New Roman" w:hAnsi="Times New Roman" w:eastAsia="仿宋_GB2312" w:cs="Times New Roman"/>
                <w:b w:val="0"/>
                <w:bCs w:val="0"/>
                <w:snapToGrid w:val="0"/>
                <w:color w:val="auto"/>
                <w:kern w:val="2"/>
                <w:sz w:val="24"/>
                <w:szCs w:val="24"/>
                <w:highlight w:val="none"/>
                <w:u w:val="none" w:color="auto"/>
                <w:rtl w:val="0"/>
                <w:lang w:val="en-US" w:eastAsia="zh-CN" w:bidi="ar-SA"/>
              </w:rPr>
            </w:pPr>
            <w:r>
              <w:rPr>
                <w:rFonts w:hint="default" w:ascii="Times New Roman" w:hAnsi="Times New Roman" w:eastAsia="仿宋_GB2312" w:cs="Times New Roman"/>
                <w:b w:val="0"/>
                <w:bCs w:val="0"/>
                <w:color w:val="auto"/>
                <w:sz w:val="24"/>
                <w:szCs w:val="24"/>
                <w:highlight w:val="none"/>
                <w:u w:val="none" w:color="auto"/>
                <w:lang w:val="en-US" w:eastAsia="zh-CN"/>
              </w:rPr>
              <w:t>关于全面深化职务科技成果权属制度改革的实施方案</w:t>
            </w:r>
          </w:p>
        </w:tc>
        <w:tc>
          <w:tcPr>
            <w:tcW w:w="4390" w:type="dxa"/>
            <w:shd w:val="clear" w:color="auto" w:fill="auto"/>
            <w:vAlign w:val="center"/>
          </w:tcPr>
          <w:p w14:paraId="08C1B6B8">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jc w:val="both"/>
              <w:textAlignment w:val="auto"/>
              <w:rPr>
                <w:rFonts w:hint="default" w:ascii="Times New Roman" w:hAnsi="Times New Roman" w:eastAsia="仿宋_GB2312" w:cs="Times New Roman"/>
                <w:b w:val="0"/>
                <w:bCs w:val="0"/>
                <w:snapToGrid w:val="0"/>
                <w:color w:val="auto"/>
                <w:kern w:val="2"/>
                <w:sz w:val="24"/>
                <w:szCs w:val="24"/>
                <w:highlight w:val="none"/>
                <w:u w:val="none" w:color="auto"/>
                <w:lang w:val="en-US" w:eastAsia="zh-CN" w:bidi="ar-SA"/>
              </w:rPr>
            </w:pPr>
            <w:r>
              <w:rPr>
                <w:rFonts w:hint="default" w:ascii="Times New Roman" w:hAnsi="Times New Roman" w:eastAsia="仿宋_GB2312" w:cs="Times New Roman"/>
                <w:b w:val="0"/>
                <w:bCs w:val="0"/>
                <w:snapToGrid w:val="0"/>
                <w:color w:val="auto"/>
                <w:kern w:val="2"/>
                <w:sz w:val="24"/>
                <w:szCs w:val="24"/>
                <w:highlight w:val="none"/>
                <w:u w:val="none" w:color="auto"/>
                <w:lang w:val="en-US" w:eastAsia="zh-CN" w:bidi="ar-SA"/>
              </w:rPr>
              <w:t>适用于省内高校、科研院所和具有科研活动能力的医疗卫生机构；科技成果类型包括专利权、计算机软件著作权、集成电路布图设计专有权、植物新品种权、动物新品种权，以及生物医药新品种和技术秘密等专利技术和非专利技术。</w:t>
            </w:r>
          </w:p>
        </w:tc>
        <w:tc>
          <w:tcPr>
            <w:tcW w:w="2527" w:type="dxa"/>
            <w:shd w:val="clear" w:color="auto" w:fill="auto"/>
            <w:vAlign w:val="center"/>
          </w:tcPr>
          <w:p w14:paraId="6BEDEE14">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jc w:val="left"/>
              <w:textAlignment w:val="auto"/>
              <w:rPr>
                <w:rFonts w:hint="default" w:ascii="Times New Roman" w:hAnsi="Times New Roman" w:eastAsia="仿宋_GB2312" w:cs="Times New Roman"/>
                <w:b w:val="0"/>
                <w:bCs w:val="0"/>
                <w:snapToGrid w:val="0"/>
                <w:color w:val="auto"/>
                <w:kern w:val="2"/>
                <w:sz w:val="24"/>
                <w:szCs w:val="24"/>
                <w:highlight w:val="none"/>
                <w:u w:val="none" w:color="auto"/>
                <w:lang w:val="en-US" w:eastAsia="zh-CN" w:bidi="ar-SA"/>
              </w:rPr>
            </w:pPr>
            <w:r>
              <w:rPr>
                <w:rFonts w:hint="default" w:ascii="Times New Roman" w:hAnsi="Times New Roman" w:eastAsia="仿宋_GB2312" w:cs="Times New Roman"/>
                <w:b w:val="0"/>
                <w:bCs w:val="0"/>
                <w:snapToGrid w:val="0"/>
                <w:color w:val="auto"/>
                <w:kern w:val="2"/>
                <w:sz w:val="24"/>
                <w:szCs w:val="24"/>
                <w:highlight w:val="none"/>
                <w:u w:val="none" w:color="auto"/>
                <w:lang w:val="en-US" w:eastAsia="zh-CN" w:bidi="ar-SA"/>
              </w:rPr>
              <w:t>https://kjt.sc.gov.cn//kjt/gstz/2024/1/17/0a2dc0ad729f4c0f9b1a56f4ebe16d92.shtml</w:t>
            </w:r>
          </w:p>
        </w:tc>
        <w:tc>
          <w:tcPr>
            <w:tcW w:w="2734" w:type="dxa"/>
            <w:shd w:val="clear" w:color="auto" w:fill="auto"/>
            <w:vAlign w:val="center"/>
          </w:tcPr>
          <w:p w14:paraId="0E2A3E24">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highlight w:val="none"/>
                <w:u w:val="none" w:color="auto"/>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政策法规处</w:t>
            </w:r>
          </w:p>
        </w:tc>
        <w:tc>
          <w:tcPr>
            <w:tcW w:w="1645" w:type="dxa"/>
            <w:shd w:val="clear" w:color="auto" w:fill="auto"/>
            <w:vAlign w:val="center"/>
          </w:tcPr>
          <w:p w14:paraId="69D6FE5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028-86710365</w:t>
            </w:r>
          </w:p>
        </w:tc>
        <w:tc>
          <w:tcPr>
            <w:tcW w:w="1248" w:type="dxa"/>
            <w:shd w:val="clear" w:color="auto" w:fill="auto"/>
            <w:vAlign w:val="center"/>
          </w:tcPr>
          <w:p w14:paraId="012E8A2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3B4D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798" w:type="dxa"/>
            <w:shd w:val="clear" w:color="auto" w:fill="auto"/>
            <w:vAlign w:val="center"/>
          </w:tcPr>
          <w:p w14:paraId="0D961A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sz w:val="24"/>
                <w:szCs w:val="24"/>
                <w:u w:val="none" w:color="auto"/>
                <w:vertAlign w:val="baseline"/>
                <w:lang w:val="en-US" w:eastAsia="zh-CN"/>
              </w:rPr>
              <w:t>5</w:t>
            </w:r>
            <w:r>
              <w:rPr>
                <w:rFonts w:hint="default" w:ascii="Times New Roman" w:hAnsi="Times New Roman" w:eastAsia="仿宋_GB2312" w:cs="Times New Roman"/>
                <w:b w:val="0"/>
                <w:bCs w:val="0"/>
                <w:color w:val="auto"/>
                <w:sz w:val="24"/>
                <w:szCs w:val="24"/>
                <w:u w:val="none" w:color="auto"/>
                <w:vertAlign w:val="baseline"/>
                <w:lang w:val="en" w:eastAsia="zh-CN"/>
              </w:rPr>
              <w:t>2</w:t>
            </w:r>
          </w:p>
        </w:tc>
        <w:tc>
          <w:tcPr>
            <w:tcW w:w="1814" w:type="dxa"/>
            <w:shd w:val="clear" w:color="auto" w:fill="auto"/>
            <w:vAlign w:val="center"/>
          </w:tcPr>
          <w:p w14:paraId="24723124">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四川省企业研究开发费用加计扣除项目实施细则</w:t>
            </w:r>
          </w:p>
        </w:tc>
        <w:tc>
          <w:tcPr>
            <w:tcW w:w="4390" w:type="dxa"/>
            <w:shd w:val="clear" w:color="auto" w:fill="auto"/>
            <w:vAlign w:val="center"/>
          </w:tcPr>
          <w:p w14:paraId="4246F25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适用于四川省财务会计核算健全、实行查账征收并能准确归集研究开发费用的居民企业。</w:t>
            </w:r>
          </w:p>
        </w:tc>
        <w:tc>
          <w:tcPr>
            <w:tcW w:w="2527" w:type="dxa"/>
            <w:shd w:val="clear" w:color="auto" w:fill="auto"/>
            <w:vAlign w:val="center"/>
          </w:tcPr>
          <w:p w14:paraId="205EE15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https://kjt.sc.gov.cn//kjt/elderxzgfxwj/2023/12/29/b5006e645a224e7a9fa3ac1f2a5a4b40.shtml</w:t>
            </w:r>
          </w:p>
        </w:tc>
        <w:tc>
          <w:tcPr>
            <w:tcW w:w="2734" w:type="dxa"/>
            <w:shd w:val="clear" w:color="auto" w:fill="auto"/>
            <w:vAlign w:val="center"/>
          </w:tcPr>
          <w:p w14:paraId="50A2E89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政策法规处</w:t>
            </w:r>
          </w:p>
        </w:tc>
        <w:tc>
          <w:tcPr>
            <w:tcW w:w="1645" w:type="dxa"/>
            <w:shd w:val="clear" w:color="auto" w:fill="auto"/>
            <w:vAlign w:val="center"/>
          </w:tcPr>
          <w:p w14:paraId="07BA11D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028-86710365</w:t>
            </w:r>
          </w:p>
        </w:tc>
        <w:tc>
          <w:tcPr>
            <w:tcW w:w="1248" w:type="dxa"/>
            <w:shd w:val="clear" w:color="auto" w:fill="auto"/>
            <w:vAlign w:val="top"/>
          </w:tcPr>
          <w:p w14:paraId="10A64C4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7F3B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98" w:type="dxa"/>
            <w:shd w:val="clear" w:color="auto" w:fill="auto"/>
            <w:vAlign w:val="center"/>
          </w:tcPr>
          <w:p w14:paraId="3BE3AD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sz w:val="24"/>
                <w:szCs w:val="24"/>
                <w:u w:val="none" w:color="auto"/>
                <w:vertAlign w:val="baseline"/>
                <w:lang w:val="en-US" w:eastAsia="zh-CN"/>
              </w:rPr>
              <w:t>5</w:t>
            </w:r>
            <w:r>
              <w:rPr>
                <w:rFonts w:hint="default" w:ascii="Times New Roman" w:hAnsi="Times New Roman" w:eastAsia="仿宋_GB2312" w:cs="Times New Roman"/>
                <w:b w:val="0"/>
                <w:bCs w:val="0"/>
                <w:color w:val="auto"/>
                <w:sz w:val="24"/>
                <w:szCs w:val="24"/>
                <w:u w:val="none" w:color="auto"/>
                <w:vertAlign w:val="baseline"/>
                <w:lang w:val="en" w:eastAsia="zh-CN"/>
              </w:rPr>
              <w:t>3</w:t>
            </w:r>
          </w:p>
        </w:tc>
        <w:tc>
          <w:tcPr>
            <w:tcW w:w="1814" w:type="dxa"/>
            <w:shd w:val="clear" w:color="auto" w:fill="auto"/>
            <w:vAlign w:val="center"/>
          </w:tcPr>
          <w:p w14:paraId="6ACEAB7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四川省科技伦理审查实施细则（试行）</w:t>
            </w:r>
          </w:p>
        </w:tc>
        <w:tc>
          <w:tcPr>
            <w:tcW w:w="4390" w:type="dxa"/>
            <w:shd w:val="clear" w:color="auto" w:fill="auto"/>
            <w:vAlign w:val="center"/>
          </w:tcPr>
          <w:p w14:paraId="3EA73BD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开展《四川省科技伦理审查实施细则（试行）》第二条的科技活动，必须进行科技伦理审查。</w:t>
            </w:r>
          </w:p>
        </w:tc>
        <w:tc>
          <w:tcPr>
            <w:tcW w:w="2527" w:type="dxa"/>
            <w:shd w:val="clear" w:color="auto" w:fill="auto"/>
            <w:vAlign w:val="center"/>
          </w:tcPr>
          <w:p w14:paraId="5FCE0E8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https://kjt.sc.gov.cn/kjt/xzgfxwj/2024/5/29/89a0e2372cff4306ab60b66f7b6d0d77.shtml</w:t>
            </w:r>
          </w:p>
        </w:tc>
        <w:tc>
          <w:tcPr>
            <w:tcW w:w="2734" w:type="dxa"/>
            <w:shd w:val="clear" w:color="auto" w:fill="auto"/>
            <w:vAlign w:val="center"/>
          </w:tcPr>
          <w:p w14:paraId="41668D7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监督处</w:t>
            </w:r>
          </w:p>
        </w:tc>
        <w:tc>
          <w:tcPr>
            <w:tcW w:w="1645" w:type="dxa"/>
            <w:shd w:val="clear" w:color="auto" w:fill="auto"/>
            <w:vAlign w:val="center"/>
          </w:tcPr>
          <w:p w14:paraId="31243A6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028-86669837</w:t>
            </w:r>
          </w:p>
        </w:tc>
        <w:tc>
          <w:tcPr>
            <w:tcW w:w="1248" w:type="dxa"/>
            <w:shd w:val="clear" w:color="auto" w:fill="auto"/>
            <w:vAlign w:val="center"/>
          </w:tcPr>
          <w:p w14:paraId="7A14C85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p>
        </w:tc>
      </w:tr>
      <w:tr w14:paraId="456A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798" w:type="dxa"/>
            <w:shd w:val="clear" w:color="auto" w:fill="auto"/>
            <w:vAlign w:val="center"/>
          </w:tcPr>
          <w:p w14:paraId="413458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sz w:val="24"/>
                <w:szCs w:val="24"/>
                <w:u w:val="none" w:color="auto"/>
                <w:vertAlign w:val="baseline"/>
                <w:lang w:val="en-US" w:eastAsia="zh-CN"/>
              </w:rPr>
              <w:t>5</w:t>
            </w:r>
            <w:r>
              <w:rPr>
                <w:rFonts w:hint="default" w:ascii="Times New Roman" w:hAnsi="Times New Roman" w:eastAsia="仿宋_GB2312" w:cs="Times New Roman"/>
                <w:b w:val="0"/>
                <w:bCs w:val="0"/>
                <w:color w:val="auto"/>
                <w:sz w:val="24"/>
                <w:szCs w:val="24"/>
                <w:u w:val="none" w:color="auto"/>
                <w:vertAlign w:val="baseline"/>
                <w:lang w:val="en" w:eastAsia="zh-CN"/>
              </w:rPr>
              <w:t>4</w:t>
            </w:r>
          </w:p>
        </w:tc>
        <w:tc>
          <w:tcPr>
            <w:tcW w:w="1814" w:type="dxa"/>
            <w:shd w:val="clear" w:color="auto" w:fill="auto"/>
            <w:vAlign w:val="center"/>
          </w:tcPr>
          <w:p w14:paraId="16560B3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四川省外国人来华工作“一件事”实施方案</w:t>
            </w:r>
          </w:p>
        </w:tc>
        <w:tc>
          <w:tcPr>
            <w:tcW w:w="4390" w:type="dxa"/>
            <w:shd w:val="clear" w:color="auto" w:fill="auto"/>
            <w:vAlign w:val="center"/>
          </w:tcPr>
          <w:p w14:paraId="34B5A70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适用于来川外国人和聘用外国人的单位。</w:t>
            </w:r>
          </w:p>
        </w:tc>
        <w:tc>
          <w:tcPr>
            <w:tcW w:w="2527" w:type="dxa"/>
            <w:shd w:val="clear" w:color="auto" w:fill="auto"/>
            <w:vAlign w:val="center"/>
          </w:tcPr>
          <w:p w14:paraId="6934AEC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https://rst.sc.gov.cn/rst/gsgg/2025/5/28/016c738772c54cfba084adaa239c4020.shtml</w:t>
            </w:r>
          </w:p>
        </w:tc>
        <w:tc>
          <w:tcPr>
            <w:tcW w:w="2734" w:type="dxa"/>
            <w:shd w:val="clear" w:color="auto" w:fill="auto"/>
            <w:vAlign w:val="center"/>
          </w:tcPr>
          <w:p w14:paraId="45511CF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外专处</w:t>
            </w:r>
          </w:p>
        </w:tc>
        <w:tc>
          <w:tcPr>
            <w:tcW w:w="1645" w:type="dxa"/>
            <w:shd w:val="clear" w:color="auto" w:fill="auto"/>
            <w:vAlign w:val="center"/>
          </w:tcPr>
          <w:p w14:paraId="38B819E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028-86720830</w:t>
            </w:r>
          </w:p>
        </w:tc>
        <w:tc>
          <w:tcPr>
            <w:tcW w:w="1248" w:type="dxa"/>
            <w:shd w:val="clear" w:color="auto" w:fill="auto"/>
            <w:vAlign w:val="center"/>
          </w:tcPr>
          <w:p w14:paraId="31EDE64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p>
        </w:tc>
      </w:tr>
      <w:tr w14:paraId="140E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798" w:type="dxa"/>
            <w:shd w:val="clear" w:color="auto" w:fill="auto"/>
            <w:vAlign w:val="center"/>
          </w:tcPr>
          <w:p w14:paraId="476650E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sz w:val="24"/>
                <w:szCs w:val="24"/>
                <w:u w:val="none" w:color="auto"/>
                <w:vertAlign w:val="baseline"/>
                <w:lang w:val="en-US" w:eastAsia="zh-CN"/>
              </w:rPr>
              <w:t>5</w:t>
            </w:r>
            <w:r>
              <w:rPr>
                <w:rFonts w:hint="default" w:ascii="Times New Roman" w:hAnsi="Times New Roman" w:eastAsia="仿宋_GB2312" w:cs="Times New Roman"/>
                <w:b w:val="0"/>
                <w:bCs w:val="0"/>
                <w:color w:val="auto"/>
                <w:sz w:val="24"/>
                <w:szCs w:val="24"/>
                <w:u w:val="none" w:color="auto"/>
                <w:vertAlign w:val="baseline"/>
                <w:lang w:val="en" w:eastAsia="zh-CN"/>
              </w:rPr>
              <w:t>5</w:t>
            </w:r>
          </w:p>
        </w:tc>
        <w:tc>
          <w:tcPr>
            <w:tcW w:w="1814" w:type="dxa"/>
            <w:shd w:val="clear" w:color="auto" w:fill="auto"/>
            <w:vAlign w:val="center"/>
          </w:tcPr>
          <w:p w14:paraId="4A323BA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四川省科学技术行政处罚裁量权基准实施办法（试行）</w:t>
            </w:r>
          </w:p>
        </w:tc>
        <w:tc>
          <w:tcPr>
            <w:tcW w:w="4390" w:type="dxa"/>
            <w:shd w:val="clear" w:color="auto" w:fill="auto"/>
            <w:vAlign w:val="center"/>
          </w:tcPr>
          <w:p w14:paraId="03A3471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eastAsia" w:ascii="Times New Roman" w:hAnsi="Times New Roman" w:eastAsia="仿宋_GB2312" w:cs="Times New Roman"/>
                <w:b w:val="0"/>
                <w:bCs w:val="0"/>
                <w:color w:val="auto"/>
                <w:sz w:val="24"/>
                <w:szCs w:val="24"/>
                <w:u w:val="none" w:color="auto"/>
                <w:vertAlign w:val="baseline"/>
                <w:lang w:val="en-US" w:eastAsia="zh-CN"/>
              </w:rPr>
              <w:t>适用于</w:t>
            </w:r>
            <w:r>
              <w:rPr>
                <w:rFonts w:hint="default" w:ascii="Times New Roman" w:hAnsi="Times New Roman" w:eastAsia="仿宋_GB2312" w:cs="Times New Roman"/>
                <w:b w:val="0"/>
                <w:bCs w:val="0"/>
                <w:color w:val="auto"/>
                <w:sz w:val="24"/>
                <w:szCs w:val="24"/>
                <w:u w:val="none" w:color="auto"/>
                <w:vertAlign w:val="baseline"/>
                <w:lang w:val="en-US" w:eastAsia="zh-CN"/>
              </w:rPr>
              <w:t>规范全省科技系统行政处罚裁量权的行使，保护公民、法人和其他组织的合法权益</w:t>
            </w:r>
            <w:r>
              <w:rPr>
                <w:rFonts w:hint="eastAsia" w:ascii="Times New Roman" w:hAnsi="Times New Roman" w:eastAsia="仿宋_GB2312" w:cs="Times New Roman"/>
                <w:b w:val="0"/>
                <w:bCs w:val="0"/>
                <w:color w:val="auto"/>
                <w:sz w:val="24"/>
                <w:szCs w:val="24"/>
                <w:u w:val="none" w:color="auto"/>
                <w:vertAlign w:val="baseline"/>
                <w:lang w:val="en-US" w:eastAsia="zh-CN"/>
              </w:rPr>
              <w:t>。</w:t>
            </w:r>
          </w:p>
        </w:tc>
        <w:tc>
          <w:tcPr>
            <w:tcW w:w="2527" w:type="dxa"/>
            <w:shd w:val="clear" w:color="auto" w:fill="auto"/>
            <w:vAlign w:val="center"/>
          </w:tcPr>
          <w:p w14:paraId="2866CFB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https://kjt.sc.gov.cn/kjt/xzgfxwj/2026/4/7/b6485ef069464ce5bbf1ae6c8640e09b.shtml</w:t>
            </w:r>
          </w:p>
        </w:tc>
        <w:tc>
          <w:tcPr>
            <w:tcW w:w="2734" w:type="dxa"/>
            <w:shd w:val="clear" w:color="auto" w:fill="auto"/>
            <w:vAlign w:val="center"/>
          </w:tcPr>
          <w:p w14:paraId="47C9D41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政策法规处</w:t>
            </w:r>
          </w:p>
        </w:tc>
        <w:tc>
          <w:tcPr>
            <w:tcW w:w="1645" w:type="dxa"/>
            <w:shd w:val="clear" w:color="auto" w:fill="auto"/>
            <w:vAlign w:val="center"/>
          </w:tcPr>
          <w:p w14:paraId="1B45CC8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028-86676522</w:t>
            </w:r>
          </w:p>
        </w:tc>
        <w:tc>
          <w:tcPr>
            <w:tcW w:w="1248" w:type="dxa"/>
            <w:shd w:val="clear" w:color="auto" w:fill="auto"/>
            <w:vAlign w:val="center"/>
          </w:tcPr>
          <w:p w14:paraId="3B1B6C9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1077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798" w:type="dxa"/>
            <w:shd w:val="clear" w:color="auto" w:fill="auto"/>
            <w:vAlign w:val="center"/>
          </w:tcPr>
          <w:p w14:paraId="6E90779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kern w:val="2"/>
                <w:sz w:val="24"/>
                <w:szCs w:val="24"/>
                <w:u w:val="none" w:color="auto"/>
                <w:vertAlign w:val="baseline"/>
                <w:lang w:val="en-US" w:eastAsia="zh-CN" w:bidi="ar-SA"/>
              </w:rPr>
              <w:t>5</w:t>
            </w:r>
            <w:r>
              <w:rPr>
                <w:rFonts w:hint="default" w:ascii="Times New Roman" w:hAnsi="Times New Roman" w:eastAsia="仿宋_GB2312" w:cs="Times New Roman"/>
                <w:b w:val="0"/>
                <w:bCs w:val="0"/>
                <w:color w:val="auto"/>
                <w:kern w:val="2"/>
                <w:sz w:val="24"/>
                <w:szCs w:val="24"/>
                <w:u w:val="none" w:color="auto"/>
                <w:vertAlign w:val="baseline"/>
                <w:lang w:val="en" w:eastAsia="zh-CN" w:bidi="ar-SA"/>
              </w:rPr>
              <w:t>6</w:t>
            </w:r>
          </w:p>
        </w:tc>
        <w:tc>
          <w:tcPr>
            <w:tcW w:w="1814" w:type="dxa"/>
            <w:shd w:val="clear" w:color="auto" w:fill="auto"/>
            <w:vAlign w:val="center"/>
          </w:tcPr>
          <w:p w14:paraId="6BEA765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四川省自然科学研究人员职称申报评审基本条件</w:t>
            </w:r>
          </w:p>
        </w:tc>
        <w:tc>
          <w:tcPr>
            <w:tcW w:w="4390" w:type="dxa"/>
            <w:shd w:val="clear" w:color="auto" w:fill="auto"/>
            <w:vAlign w:val="center"/>
          </w:tcPr>
          <w:p w14:paraId="1C23B4D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适用于我省从事自然科学研究工作的专业技术人员</w:t>
            </w:r>
            <w:r>
              <w:rPr>
                <w:rFonts w:hint="eastAsia" w:ascii="Times New Roman" w:hAnsi="Times New Roman" w:eastAsia="仿宋_GB2312" w:cs="Times New Roman"/>
                <w:b w:val="0"/>
                <w:bCs w:val="0"/>
                <w:color w:val="auto"/>
                <w:sz w:val="24"/>
                <w:szCs w:val="24"/>
                <w:u w:val="none" w:color="auto"/>
                <w:vertAlign w:val="baseline"/>
                <w:lang w:val="en-US" w:eastAsia="zh-CN"/>
              </w:rPr>
              <w:t>。</w:t>
            </w:r>
          </w:p>
        </w:tc>
        <w:tc>
          <w:tcPr>
            <w:tcW w:w="2527" w:type="dxa"/>
            <w:shd w:val="clear" w:color="auto" w:fill="auto"/>
            <w:vAlign w:val="center"/>
          </w:tcPr>
          <w:p w14:paraId="4345744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https://kjt.sc.gov.cn/kjt/xzgfxwj/2026/4/17/f0f3514030a141329d1013bc8a164dcf.shtml</w:t>
            </w:r>
          </w:p>
        </w:tc>
        <w:tc>
          <w:tcPr>
            <w:tcW w:w="2734" w:type="dxa"/>
            <w:shd w:val="clear" w:color="auto" w:fill="auto"/>
            <w:vAlign w:val="center"/>
          </w:tcPr>
          <w:p w14:paraId="58974C86">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人才处</w:t>
            </w:r>
          </w:p>
        </w:tc>
        <w:tc>
          <w:tcPr>
            <w:tcW w:w="1645" w:type="dxa"/>
            <w:shd w:val="clear" w:color="auto" w:fill="auto"/>
            <w:vAlign w:val="center"/>
          </w:tcPr>
          <w:p w14:paraId="224CE3F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028-86663608</w:t>
            </w:r>
          </w:p>
        </w:tc>
        <w:tc>
          <w:tcPr>
            <w:tcW w:w="1248" w:type="dxa"/>
            <w:shd w:val="clear" w:color="auto" w:fill="auto"/>
            <w:vAlign w:val="center"/>
          </w:tcPr>
          <w:p w14:paraId="68AAC80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p>
        </w:tc>
      </w:tr>
      <w:tr w14:paraId="0D0E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798" w:type="dxa"/>
            <w:shd w:val="clear" w:color="auto" w:fill="auto"/>
            <w:vAlign w:val="center"/>
          </w:tcPr>
          <w:p w14:paraId="1B29CB5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sz w:val="24"/>
                <w:szCs w:val="24"/>
                <w:u w:val="none" w:color="auto"/>
                <w:vertAlign w:val="baseline"/>
                <w:lang w:val="en-US" w:eastAsia="zh-CN"/>
              </w:rPr>
              <w:t>5</w:t>
            </w:r>
            <w:r>
              <w:rPr>
                <w:rFonts w:hint="default" w:ascii="Times New Roman" w:hAnsi="Times New Roman" w:eastAsia="仿宋_GB2312" w:cs="Times New Roman"/>
                <w:b w:val="0"/>
                <w:bCs w:val="0"/>
                <w:color w:val="auto"/>
                <w:sz w:val="24"/>
                <w:szCs w:val="24"/>
                <w:u w:val="none" w:color="auto"/>
                <w:vertAlign w:val="baseline"/>
                <w:lang w:val="en" w:eastAsia="zh-CN"/>
              </w:rPr>
              <w:t>7</w:t>
            </w:r>
          </w:p>
        </w:tc>
        <w:tc>
          <w:tcPr>
            <w:tcW w:w="1814" w:type="dxa"/>
            <w:shd w:val="clear" w:color="auto" w:fill="auto"/>
            <w:vAlign w:val="center"/>
          </w:tcPr>
          <w:p w14:paraId="6B0E7D8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科技伦理（审查）委员会建设指引</w:t>
            </w:r>
          </w:p>
        </w:tc>
        <w:tc>
          <w:tcPr>
            <w:tcW w:w="4390" w:type="dxa"/>
            <w:shd w:val="clear" w:color="auto" w:fill="auto"/>
            <w:vAlign w:val="center"/>
          </w:tcPr>
          <w:p w14:paraId="2643830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eastAsia" w:ascii="Times New Roman" w:hAnsi="Times New Roman" w:eastAsia="仿宋_GB2312" w:cs="Times New Roman"/>
                <w:b w:val="0"/>
                <w:bCs w:val="0"/>
                <w:color w:val="auto"/>
                <w:sz w:val="24"/>
                <w:szCs w:val="24"/>
                <w:u w:val="none" w:color="auto"/>
                <w:vertAlign w:val="baseline"/>
                <w:lang w:val="en-US" w:eastAsia="zh-CN"/>
              </w:rPr>
              <w:t>适用于指导规范</w:t>
            </w:r>
            <w:r>
              <w:rPr>
                <w:rFonts w:hint="default" w:ascii="Times New Roman" w:hAnsi="Times New Roman" w:eastAsia="仿宋_GB2312" w:cs="Times New Roman"/>
                <w:b w:val="0"/>
                <w:bCs w:val="0"/>
                <w:color w:val="auto"/>
                <w:sz w:val="24"/>
                <w:szCs w:val="24"/>
                <w:u w:val="none" w:color="auto"/>
                <w:vertAlign w:val="baseline"/>
                <w:lang w:val="en-US" w:eastAsia="zh-CN"/>
              </w:rPr>
              <w:t>高等学校、科研院所、医疗卫生机构、企业等单位</w:t>
            </w:r>
            <w:r>
              <w:rPr>
                <w:rFonts w:hint="eastAsia" w:ascii="Times New Roman" w:hAnsi="Times New Roman" w:eastAsia="仿宋_GB2312" w:cs="Times New Roman"/>
                <w:b w:val="0"/>
                <w:bCs w:val="0"/>
                <w:color w:val="auto"/>
                <w:sz w:val="24"/>
                <w:szCs w:val="24"/>
                <w:u w:val="none" w:color="auto"/>
                <w:vertAlign w:val="baseline"/>
                <w:lang w:val="en-US" w:eastAsia="zh-CN"/>
              </w:rPr>
              <w:t>规范建设</w:t>
            </w:r>
            <w:r>
              <w:rPr>
                <w:rFonts w:hint="default" w:ascii="Times New Roman" w:hAnsi="Times New Roman" w:eastAsia="仿宋_GB2312" w:cs="Times New Roman"/>
                <w:b w:val="0"/>
                <w:bCs w:val="0"/>
                <w:color w:val="auto"/>
                <w:sz w:val="24"/>
                <w:szCs w:val="24"/>
                <w:u w:val="none" w:color="auto"/>
                <w:vertAlign w:val="baseline"/>
                <w:lang w:val="en-US" w:eastAsia="zh-CN"/>
              </w:rPr>
              <w:t>科技伦理审查委员会</w:t>
            </w:r>
            <w:r>
              <w:rPr>
                <w:rFonts w:hint="eastAsia" w:ascii="Times New Roman" w:hAnsi="Times New Roman" w:eastAsia="仿宋_GB2312" w:cs="Times New Roman"/>
                <w:b w:val="0"/>
                <w:bCs w:val="0"/>
                <w:color w:val="auto"/>
                <w:sz w:val="24"/>
                <w:szCs w:val="24"/>
                <w:u w:val="none" w:color="auto"/>
                <w:vertAlign w:val="baseline"/>
                <w:lang w:val="en-US" w:eastAsia="zh-CN"/>
              </w:rPr>
              <w:t>。</w:t>
            </w:r>
          </w:p>
        </w:tc>
        <w:tc>
          <w:tcPr>
            <w:tcW w:w="2527" w:type="dxa"/>
            <w:shd w:val="clear" w:color="auto" w:fill="auto"/>
            <w:vAlign w:val="center"/>
          </w:tcPr>
          <w:p w14:paraId="179A43E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https://kjt.sc.gov.cn//kjt/qtwj/2026/4/28/1d503f2556f04b4abbe529c4ac0de34c.shtml</w:t>
            </w:r>
          </w:p>
        </w:tc>
        <w:tc>
          <w:tcPr>
            <w:tcW w:w="2734" w:type="dxa"/>
            <w:shd w:val="clear" w:color="auto" w:fill="auto"/>
            <w:vAlign w:val="center"/>
          </w:tcPr>
          <w:p w14:paraId="535DAB43">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b w:val="0"/>
                <w:bCs w:val="0"/>
                <w:color w:val="auto"/>
                <w:kern w:val="2"/>
                <w:sz w:val="24"/>
                <w:szCs w:val="24"/>
                <w:u w:val="none" w:color="auto"/>
                <w:vertAlign w:val="baseline"/>
                <w:lang w:val="en-US" w:eastAsia="zh-CN" w:bidi="ar-SA"/>
              </w:rPr>
            </w:pPr>
            <w:r>
              <w:rPr>
                <w:rFonts w:hint="eastAsia" w:ascii="Times New Roman" w:hAnsi="Times New Roman" w:eastAsia="仿宋_GB2312" w:cs="Times New Roman"/>
                <w:b w:val="0"/>
                <w:bCs w:val="0"/>
                <w:color w:val="auto"/>
                <w:kern w:val="2"/>
                <w:sz w:val="24"/>
                <w:szCs w:val="24"/>
                <w:u w:val="none" w:color="auto"/>
                <w:vertAlign w:val="baseline"/>
                <w:lang w:val="en-US" w:eastAsia="zh-CN" w:bidi="ar-SA"/>
              </w:rPr>
              <w:t>监督处</w:t>
            </w:r>
          </w:p>
        </w:tc>
        <w:tc>
          <w:tcPr>
            <w:tcW w:w="1645" w:type="dxa"/>
            <w:shd w:val="clear" w:color="auto" w:fill="auto"/>
            <w:vAlign w:val="center"/>
          </w:tcPr>
          <w:p w14:paraId="4F2D587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028-86669837</w:t>
            </w:r>
          </w:p>
        </w:tc>
        <w:tc>
          <w:tcPr>
            <w:tcW w:w="1248" w:type="dxa"/>
            <w:shd w:val="clear" w:color="auto" w:fill="auto"/>
            <w:vAlign w:val="center"/>
          </w:tcPr>
          <w:p w14:paraId="49FCF66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p>
        </w:tc>
      </w:tr>
      <w:tr w14:paraId="1138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798" w:type="dxa"/>
            <w:shd w:val="clear" w:color="auto" w:fill="auto"/>
            <w:vAlign w:val="center"/>
          </w:tcPr>
          <w:p w14:paraId="376D54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sz w:val="24"/>
                <w:szCs w:val="24"/>
                <w:u w:val="none" w:color="auto"/>
                <w:vertAlign w:val="baseline"/>
                <w:lang w:val="en-US" w:eastAsia="zh-CN"/>
              </w:rPr>
              <w:t>5</w:t>
            </w:r>
            <w:r>
              <w:rPr>
                <w:rFonts w:hint="default" w:ascii="Times New Roman" w:hAnsi="Times New Roman" w:eastAsia="仿宋_GB2312" w:cs="Times New Roman"/>
                <w:b w:val="0"/>
                <w:bCs w:val="0"/>
                <w:color w:val="auto"/>
                <w:sz w:val="24"/>
                <w:szCs w:val="24"/>
                <w:u w:val="none" w:color="auto"/>
                <w:vertAlign w:val="baseline"/>
                <w:lang w:val="en" w:eastAsia="zh-CN"/>
              </w:rPr>
              <w:t>8</w:t>
            </w:r>
          </w:p>
        </w:tc>
        <w:tc>
          <w:tcPr>
            <w:tcW w:w="1814" w:type="dxa"/>
            <w:shd w:val="clear" w:color="auto" w:fill="auto"/>
            <w:vAlign w:val="center"/>
          </w:tcPr>
          <w:p w14:paraId="1D5F4AC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四川省科技伦理专家复核工作规程（试行）</w:t>
            </w:r>
          </w:p>
        </w:tc>
        <w:tc>
          <w:tcPr>
            <w:tcW w:w="4390" w:type="dxa"/>
            <w:shd w:val="clear" w:color="auto" w:fill="auto"/>
            <w:vAlign w:val="center"/>
          </w:tcPr>
          <w:p w14:paraId="796C3A3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适用于纳入科技部《需要开展伦理审查复核的科技活动清单》，且在四川省行政区域内实施的科技活动的科技伦理专家复核工作</w:t>
            </w:r>
            <w:r>
              <w:rPr>
                <w:rFonts w:hint="eastAsia" w:ascii="Times New Roman" w:hAnsi="Times New Roman" w:eastAsia="仿宋_GB2312" w:cs="Times New Roman"/>
                <w:b w:val="0"/>
                <w:bCs w:val="0"/>
                <w:color w:val="auto"/>
                <w:sz w:val="24"/>
                <w:szCs w:val="24"/>
                <w:u w:val="none" w:color="auto"/>
                <w:vertAlign w:val="baseline"/>
                <w:lang w:val="en-US" w:eastAsia="zh-CN"/>
              </w:rPr>
              <w:t>。</w:t>
            </w:r>
          </w:p>
        </w:tc>
        <w:tc>
          <w:tcPr>
            <w:tcW w:w="2527" w:type="dxa"/>
            <w:shd w:val="clear" w:color="auto" w:fill="auto"/>
            <w:vAlign w:val="center"/>
          </w:tcPr>
          <w:p w14:paraId="5862A46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https://kjt.sc.gov.cn/kjt/xzgfxwj/2026/4/28/589f2c0e12a14cc0b98c09e12a38bd17.shtml</w:t>
            </w:r>
          </w:p>
        </w:tc>
        <w:tc>
          <w:tcPr>
            <w:tcW w:w="2734" w:type="dxa"/>
            <w:shd w:val="clear" w:color="auto" w:fill="auto"/>
            <w:vAlign w:val="center"/>
          </w:tcPr>
          <w:p w14:paraId="5ECCDFE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eastAsia" w:ascii="Times New Roman" w:hAnsi="Times New Roman" w:eastAsia="仿宋_GB2312" w:cs="Times New Roman"/>
                <w:b w:val="0"/>
                <w:bCs w:val="0"/>
                <w:color w:val="auto"/>
                <w:kern w:val="2"/>
                <w:sz w:val="24"/>
                <w:szCs w:val="24"/>
                <w:u w:val="none" w:color="auto"/>
                <w:vertAlign w:val="baseline"/>
                <w:lang w:val="en-US" w:eastAsia="zh-CN" w:bidi="ar-SA"/>
              </w:rPr>
              <w:t>监督处</w:t>
            </w:r>
          </w:p>
        </w:tc>
        <w:tc>
          <w:tcPr>
            <w:tcW w:w="1645" w:type="dxa"/>
            <w:shd w:val="clear" w:color="auto" w:fill="auto"/>
            <w:vAlign w:val="center"/>
          </w:tcPr>
          <w:p w14:paraId="28E0CFB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028-86669837</w:t>
            </w:r>
          </w:p>
        </w:tc>
        <w:tc>
          <w:tcPr>
            <w:tcW w:w="1248" w:type="dxa"/>
            <w:shd w:val="clear" w:color="auto" w:fill="auto"/>
            <w:vAlign w:val="center"/>
          </w:tcPr>
          <w:p w14:paraId="27AEB1C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p>
        </w:tc>
      </w:tr>
      <w:tr w14:paraId="53B0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798" w:type="dxa"/>
            <w:shd w:val="clear" w:color="auto" w:fill="auto"/>
            <w:vAlign w:val="center"/>
          </w:tcPr>
          <w:p w14:paraId="268847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default" w:ascii="Times New Roman" w:hAnsi="Times New Roman" w:eastAsia="仿宋_GB2312" w:cs="Times New Roman"/>
                <w:b w:val="0"/>
                <w:bCs w:val="0"/>
                <w:color w:val="auto"/>
                <w:sz w:val="24"/>
                <w:szCs w:val="24"/>
                <w:u w:val="none" w:color="auto"/>
                <w:vertAlign w:val="baseline"/>
                <w:lang w:val="en" w:eastAsia="zh-CN"/>
              </w:rPr>
              <w:t>59</w:t>
            </w:r>
          </w:p>
        </w:tc>
        <w:tc>
          <w:tcPr>
            <w:tcW w:w="1814" w:type="dxa"/>
            <w:shd w:val="clear" w:color="auto" w:fill="auto"/>
            <w:vAlign w:val="center"/>
          </w:tcPr>
          <w:p w14:paraId="744A050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四川省“十五五”享受科技创新进口税收政策的科研院所、</w:t>
            </w:r>
          </w:p>
          <w:p w14:paraId="5A23C7E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转制科研院所和新型研发机构名单核定办法</w:t>
            </w:r>
          </w:p>
        </w:tc>
        <w:tc>
          <w:tcPr>
            <w:tcW w:w="4390" w:type="dxa"/>
            <w:shd w:val="clear" w:color="auto" w:fill="auto"/>
            <w:vAlign w:val="center"/>
          </w:tcPr>
          <w:p w14:paraId="3DAC8EF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eastAsia" w:ascii="Times New Roman" w:hAnsi="Times New Roman" w:eastAsia="仿宋_GB2312" w:cs="Times New Roman"/>
                <w:b w:val="0"/>
                <w:bCs w:val="0"/>
                <w:color w:val="auto"/>
                <w:kern w:val="2"/>
                <w:sz w:val="24"/>
                <w:szCs w:val="24"/>
                <w:u w:val="none" w:color="auto"/>
                <w:vertAlign w:val="baseline"/>
                <w:lang w:val="en-US" w:eastAsia="zh-CN" w:bidi="ar-SA"/>
              </w:rPr>
              <w:t>适用于</w:t>
            </w: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我省科研院所、转制科研院所、事业单位类新型研发机构、科技类民办非企业单位类新型研发机构享受科技创新进口税收政策的名单核定工作</w:t>
            </w:r>
            <w:r>
              <w:rPr>
                <w:rFonts w:hint="eastAsia" w:ascii="Times New Roman" w:hAnsi="Times New Roman" w:eastAsia="仿宋_GB2312" w:cs="Times New Roman"/>
                <w:b w:val="0"/>
                <w:bCs w:val="0"/>
                <w:color w:val="auto"/>
                <w:kern w:val="2"/>
                <w:sz w:val="24"/>
                <w:szCs w:val="24"/>
                <w:u w:val="none" w:color="auto"/>
                <w:vertAlign w:val="baseline"/>
                <w:lang w:val="en-US" w:eastAsia="zh-CN" w:bidi="ar-SA"/>
              </w:rPr>
              <w:t>。</w:t>
            </w:r>
          </w:p>
        </w:tc>
        <w:tc>
          <w:tcPr>
            <w:tcW w:w="2527" w:type="dxa"/>
            <w:shd w:val="clear" w:color="auto" w:fill="auto"/>
            <w:vAlign w:val="center"/>
          </w:tcPr>
          <w:p w14:paraId="512332A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https://kjt.sc.gov.cn/kjt/xzgfxwj/2026/6/9/5c296c041ac647c9bbe3af991d922c6f.shtml</w:t>
            </w:r>
          </w:p>
        </w:tc>
        <w:tc>
          <w:tcPr>
            <w:tcW w:w="2734" w:type="dxa"/>
            <w:shd w:val="clear" w:color="auto" w:fill="auto"/>
            <w:vAlign w:val="center"/>
          </w:tcPr>
          <w:p w14:paraId="410A4D0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政策法规处</w:t>
            </w:r>
          </w:p>
        </w:tc>
        <w:tc>
          <w:tcPr>
            <w:tcW w:w="1645" w:type="dxa"/>
            <w:shd w:val="clear" w:color="auto" w:fill="auto"/>
            <w:vAlign w:val="center"/>
          </w:tcPr>
          <w:p w14:paraId="05E613D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028-86710365</w:t>
            </w:r>
          </w:p>
        </w:tc>
        <w:tc>
          <w:tcPr>
            <w:tcW w:w="1248" w:type="dxa"/>
            <w:shd w:val="clear" w:color="auto" w:fill="auto"/>
            <w:vAlign w:val="center"/>
          </w:tcPr>
          <w:p w14:paraId="175BC8D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p>
        </w:tc>
      </w:tr>
      <w:tr w14:paraId="17F6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798" w:type="dxa"/>
            <w:shd w:val="clear" w:color="auto" w:fill="auto"/>
            <w:vAlign w:val="center"/>
          </w:tcPr>
          <w:p w14:paraId="40BE9B3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sz w:val="24"/>
                <w:szCs w:val="24"/>
                <w:u w:val="none" w:color="auto"/>
                <w:vertAlign w:val="baseline"/>
                <w:lang w:val="en-US" w:eastAsia="zh-CN"/>
              </w:rPr>
              <w:t>6</w:t>
            </w:r>
            <w:r>
              <w:rPr>
                <w:rFonts w:hint="default" w:ascii="Times New Roman" w:hAnsi="Times New Roman" w:eastAsia="仿宋_GB2312" w:cs="Times New Roman"/>
                <w:b w:val="0"/>
                <w:bCs w:val="0"/>
                <w:color w:val="auto"/>
                <w:sz w:val="24"/>
                <w:szCs w:val="24"/>
                <w:u w:val="none" w:color="auto"/>
                <w:vertAlign w:val="baseline"/>
                <w:lang w:val="en" w:eastAsia="zh-CN"/>
              </w:rPr>
              <w:t>0</w:t>
            </w:r>
          </w:p>
        </w:tc>
        <w:tc>
          <w:tcPr>
            <w:tcW w:w="1814" w:type="dxa"/>
            <w:shd w:val="clear" w:color="auto" w:fill="auto"/>
            <w:vAlign w:val="center"/>
          </w:tcPr>
          <w:p w14:paraId="720859B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四川省科技投融资储备项目推送机制工作指引</w:t>
            </w:r>
            <w:r>
              <w:rPr>
                <w:rFonts w:hint="eastAsia" w:ascii="Times New Roman" w:hAnsi="Times New Roman" w:eastAsia="仿宋_GB2312" w:cs="Times New Roman"/>
                <w:b w:val="0"/>
                <w:bCs w:val="0"/>
                <w:color w:val="auto"/>
                <w:kern w:val="2"/>
                <w:sz w:val="24"/>
                <w:szCs w:val="24"/>
                <w:u w:val="none" w:color="auto"/>
                <w:vertAlign w:val="baseline"/>
                <w:lang w:val="en-US" w:eastAsia="zh-CN" w:bidi="ar-SA"/>
              </w:rPr>
              <w:t>（试行）</w:t>
            </w:r>
          </w:p>
        </w:tc>
        <w:tc>
          <w:tcPr>
            <w:tcW w:w="4390" w:type="dxa"/>
            <w:shd w:val="clear" w:color="auto" w:fill="auto"/>
            <w:vAlign w:val="center"/>
          </w:tcPr>
          <w:p w14:paraId="4733291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Times New Roman"/>
                <w:b w:val="0"/>
                <w:bCs w:val="0"/>
                <w:color w:val="auto"/>
                <w:kern w:val="2"/>
                <w:sz w:val="24"/>
                <w:szCs w:val="24"/>
                <w:u w:val="none" w:color="auto"/>
                <w:vertAlign w:val="baseline"/>
                <w:lang w:val="en-US" w:eastAsia="zh-CN" w:bidi="ar-SA"/>
              </w:rPr>
            </w:pPr>
            <w:r>
              <w:rPr>
                <w:rFonts w:hint="eastAsia" w:ascii="Times New Roman" w:hAnsi="Times New Roman" w:eastAsia="仿宋_GB2312" w:cs="Times New Roman"/>
                <w:b w:val="0"/>
                <w:bCs w:val="0"/>
                <w:color w:val="auto"/>
                <w:kern w:val="2"/>
                <w:sz w:val="24"/>
                <w:szCs w:val="24"/>
                <w:u w:val="none" w:color="auto"/>
                <w:vertAlign w:val="baseline"/>
                <w:lang w:val="en-US" w:eastAsia="zh-CN" w:bidi="ar-SA"/>
              </w:rPr>
              <w:t>科技投融资储备项目，需符合省委、省政府优化提升传统产业以及培育壮大新兴产业和未来产业重点布局方向，包括种子期、初创期、成长期、成熟期4类。</w:t>
            </w:r>
          </w:p>
        </w:tc>
        <w:tc>
          <w:tcPr>
            <w:tcW w:w="2527" w:type="dxa"/>
            <w:shd w:val="clear" w:color="auto" w:fill="auto"/>
            <w:vAlign w:val="center"/>
          </w:tcPr>
          <w:p w14:paraId="2286141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https://kjt.sc.gov.cn//kjt/gstz/2026/3/27/aeabbcc38a564e8cba9f6f50f428d029.shtml</w:t>
            </w:r>
          </w:p>
        </w:tc>
        <w:tc>
          <w:tcPr>
            <w:tcW w:w="2734" w:type="dxa"/>
            <w:shd w:val="clear" w:color="auto" w:fill="auto"/>
            <w:vAlign w:val="center"/>
          </w:tcPr>
          <w:p w14:paraId="01D8B8BA">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eastAsia" w:ascii="Times New Roman" w:hAnsi="Times New Roman" w:eastAsia="仿宋_GB2312" w:cs="Times New Roman"/>
                <w:b w:val="0"/>
                <w:bCs w:val="0"/>
                <w:color w:val="auto"/>
                <w:sz w:val="24"/>
                <w:szCs w:val="24"/>
                <w:u w:val="none" w:color="auto"/>
                <w:vertAlign w:val="baseline"/>
                <w:lang w:val="en-US" w:eastAsia="zh-CN"/>
              </w:rPr>
              <w:t>成果处</w:t>
            </w:r>
          </w:p>
        </w:tc>
        <w:tc>
          <w:tcPr>
            <w:tcW w:w="1645" w:type="dxa"/>
            <w:shd w:val="clear" w:color="auto" w:fill="auto"/>
            <w:vAlign w:val="center"/>
          </w:tcPr>
          <w:p w14:paraId="20C1078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028-86712007</w:t>
            </w:r>
          </w:p>
        </w:tc>
        <w:tc>
          <w:tcPr>
            <w:tcW w:w="1248" w:type="dxa"/>
            <w:shd w:val="clear" w:color="auto" w:fill="auto"/>
            <w:vAlign w:val="center"/>
          </w:tcPr>
          <w:p w14:paraId="1417883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p>
        </w:tc>
      </w:tr>
      <w:tr w14:paraId="087E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798" w:type="dxa"/>
            <w:shd w:val="clear" w:color="auto" w:fill="auto"/>
            <w:vAlign w:val="center"/>
          </w:tcPr>
          <w:p w14:paraId="75F995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sz w:val="24"/>
                <w:szCs w:val="24"/>
                <w:u w:val="none" w:color="auto"/>
                <w:vertAlign w:val="baseline"/>
                <w:lang w:val="en-US" w:eastAsia="zh-CN"/>
              </w:rPr>
              <w:t>6</w:t>
            </w:r>
            <w:r>
              <w:rPr>
                <w:rFonts w:hint="default" w:ascii="Times New Roman" w:hAnsi="Times New Roman" w:eastAsia="仿宋_GB2312" w:cs="Times New Roman"/>
                <w:b w:val="0"/>
                <w:bCs w:val="0"/>
                <w:color w:val="auto"/>
                <w:sz w:val="24"/>
                <w:szCs w:val="24"/>
                <w:u w:val="none" w:color="auto"/>
                <w:vertAlign w:val="baseline"/>
                <w:lang w:val="en" w:eastAsia="zh-CN"/>
              </w:rPr>
              <w:t>1</w:t>
            </w:r>
          </w:p>
        </w:tc>
        <w:tc>
          <w:tcPr>
            <w:tcW w:w="1814" w:type="dxa"/>
            <w:shd w:val="clear" w:color="auto" w:fill="auto"/>
            <w:vAlign w:val="center"/>
          </w:tcPr>
          <w:p w14:paraId="33CDF4B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eastAsia" w:ascii="Times New Roman" w:hAnsi="Times New Roman" w:eastAsia="仿宋_GB2312" w:cs="Times New Roman"/>
                <w:b w:val="0"/>
                <w:bCs w:val="0"/>
                <w:color w:val="auto"/>
                <w:kern w:val="2"/>
                <w:sz w:val="24"/>
                <w:szCs w:val="24"/>
                <w:u w:val="none" w:color="auto"/>
                <w:vertAlign w:val="baseline"/>
                <w:lang w:val="en-US" w:eastAsia="zh-CN" w:bidi="ar-SA"/>
              </w:rPr>
              <w:t>四川省“线上科创通+线下科创岛”科创服务体系建设方案</w:t>
            </w:r>
          </w:p>
        </w:tc>
        <w:tc>
          <w:tcPr>
            <w:tcW w:w="4390" w:type="dxa"/>
            <w:shd w:val="clear" w:color="auto" w:fill="auto"/>
            <w:vAlign w:val="center"/>
          </w:tcPr>
          <w:p w14:paraId="47E7DF9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Times New Roman"/>
                <w:b w:val="0"/>
                <w:bCs w:val="0"/>
                <w:color w:val="auto"/>
                <w:kern w:val="2"/>
                <w:sz w:val="24"/>
                <w:szCs w:val="24"/>
                <w:u w:val="none" w:color="auto"/>
                <w:vertAlign w:val="baseline"/>
                <w:lang w:val="en-US" w:eastAsia="zh-CN" w:bidi="ar-SA"/>
              </w:rPr>
            </w:pPr>
            <w:r>
              <w:rPr>
                <w:rFonts w:hint="eastAsia" w:ascii="Times New Roman" w:hAnsi="Times New Roman" w:eastAsia="仿宋_GB2312" w:cs="Times New Roman"/>
                <w:b w:val="0"/>
                <w:bCs w:val="0"/>
                <w:color w:val="auto"/>
                <w:kern w:val="2"/>
                <w:sz w:val="24"/>
                <w:szCs w:val="24"/>
                <w:u w:val="none" w:color="auto"/>
                <w:vertAlign w:val="baseline"/>
                <w:lang w:val="en-US" w:eastAsia="zh-CN" w:bidi="ar-SA"/>
              </w:rPr>
              <w:t>适用于完善四川“线上科创通+线下科创岛”科创服务体系，促进科技创新与产业创新深度融合，推动构建地上一座岛、云端一张网，实现功能融通、一体运营、联动发展，打造网格化、节点化、便利化的一站式创新服务生态。</w:t>
            </w:r>
          </w:p>
        </w:tc>
        <w:tc>
          <w:tcPr>
            <w:tcW w:w="2527" w:type="dxa"/>
            <w:shd w:val="clear" w:color="auto" w:fill="auto"/>
            <w:vAlign w:val="center"/>
          </w:tcPr>
          <w:p w14:paraId="6CAECDD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eastAsia" w:ascii="Times New Roman" w:hAnsi="Times New Roman" w:eastAsia="仿宋_GB2312" w:cs="Times New Roman"/>
                <w:b w:val="0"/>
                <w:bCs w:val="0"/>
                <w:color w:val="auto"/>
                <w:kern w:val="2"/>
                <w:sz w:val="24"/>
                <w:szCs w:val="24"/>
                <w:u w:val="none" w:color="auto"/>
                <w:vertAlign w:val="baseline"/>
                <w:lang w:val="en-US" w:eastAsia="zh-CN" w:bidi="ar-SA"/>
              </w:rPr>
              <w:t>https://kjt.sc.gov.cn//kjt/gstz/2026/6/18/6b1459f14473407b9c360f956674dce0.shtml</w:t>
            </w:r>
          </w:p>
        </w:tc>
        <w:tc>
          <w:tcPr>
            <w:tcW w:w="2734" w:type="dxa"/>
            <w:shd w:val="clear" w:color="auto" w:fill="auto"/>
            <w:vAlign w:val="center"/>
          </w:tcPr>
          <w:p w14:paraId="68190C22">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b w:val="0"/>
                <w:bCs w:val="0"/>
                <w:color w:val="auto"/>
                <w:sz w:val="24"/>
                <w:szCs w:val="24"/>
                <w:u w:val="none" w:color="auto"/>
                <w:vertAlign w:val="baseline"/>
                <w:lang w:val="en-US" w:eastAsia="zh-CN"/>
              </w:rPr>
            </w:pPr>
            <w:r>
              <w:rPr>
                <w:rFonts w:hint="eastAsia" w:ascii="Times New Roman" w:hAnsi="Times New Roman" w:eastAsia="仿宋_GB2312" w:cs="Times New Roman"/>
                <w:b w:val="0"/>
                <w:bCs w:val="0"/>
                <w:color w:val="auto"/>
                <w:sz w:val="24"/>
                <w:szCs w:val="24"/>
                <w:u w:val="none" w:color="auto"/>
                <w:vertAlign w:val="baseline"/>
                <w:lang w:val="en-US" w:eastAsia="zh-CN"/>
              </w:rPr>
              <w:t>成果处</w:t>
            </w:r>
          </w:p>
        </w:tc>
        <w:tc>
          <w:tcPr>
            <w:tcW w:w="1645" w:type="dxa"/>
            <w:shd w:val="clear" w:color="auto" w:fill="auto"/>
            <w:vAlign w:val="center"/>
          </w:tcPr>
          <w:p w14:paraId="0326E46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028-867</w:t>
            </w:r>
            <w:r>
              <w:rPr>
                <w:rFonts w:hint="eastAsia" w:ascii="Times New Roman" w:hAnsi="Times New Roman" w:eastAsia="仿宋_GB2312" w:cs="Times New Roman"/>
                <w:b w:val="0"/>
                <w:bCs w:val="0"/>
                <w:color w:val="auto"/>
                <w:sz w:val="24"/>
                <w:szCs w:val="24"/>
                <w:u w:val="none" w:color="auto"/>
                <w:vertAlign w:val="baseline"/>
                <w:lang w:val="en-US" w:eastAsia="zh-CN"/>
              </w:rPr>
              <w:t>31029</w:t>
            </w:r>
          </w:p>
        </w:tc>
        <w:tc>
          <w:tcPr>
            <w:tcW w:w="1248" w:type="dxa"/>
            <w:shd w:val="clear" w:color="auto" w:fill="auto"/>
            <w:vAlign w:val="center"/>
          </w:tcPr>
          <w:p w14:paraId="6FFE696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p>
        </w:tc>
      </w:tr>
      <w:tr w14:paraId="78DF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798" w:type="dxa"/>
            <w:shd w:val="clear" w:color="auto" w:fill="auto"/>
            <w:vAlign w:val="center"/>
          </w:tcPr>
          <w:p w14:paraId="0E059F6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 w:eastAsia="zh-CN" w:bidi="ar-SA"/>
              </w:rPr>
            </w:pPr>
            <w:r>
              <w:rPr>
                <w:rFonts w:hint="eastAsia" w:ascii="Times New Roman" w:hAnsi="Times New Roman" w:eastAsia="仿宋_GB2312" w:cs="Times New Roman"/>
                <w:b w:val="0"/>
                <w:bCs w:val="0"/>
                <w:color w:val="auto"/>
                <w:sz w:val="24"/>
                <w:szCs w:val="24"/>
                <w:u w:val="none" w:color="auto"/>
                <w:vertAlign w:val="baseline"/>
                <w:lang w:val="en-US" w:eastAsia="zh-CN"/>
              </w:rPr>
              <w:t>6</w:t>
            </w:r>
            <w:r>
              <w:rPr>
                <w:rFonts w:hint="default" w:ascii="Times New Roman" w:hAnsi="Times New Roman" w:eastAsia="仿宋_GB2312" w:cs="Times New Roman"/>
                <w:b w:val="0"/>
                <w:bCs w:val="0"/>
                <w:color w:val="auto"/>
                <w:sz w:val="24"/>
                <w:szCs w:val="24"/>
                <w:u w:val="none" w:color="auto"/>
                <w:vertAlign w:val="baseline"/>
                <w:lang w:val="en" w:eastAsia="zh-CN"/>
              </w:rPr>
              <w:t>2</w:t>
            </w:r>
          </w:p>
        </w:tc>
        <w:tc>
          <w:tcPr>
            <w:tcW w:w="1814" w:type="dxa"/>
            <w:shd w:val="clear" w:color="auto" w:fill="auto"/>
            <w:vAlign w:val="center"/>
          </w:tcPr>
          <w:p w14:paraId="1754F09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Times New Roman"/>
                <w:b w:val="0"/>
                <w:bCs w:val="0"/>
                <w:color w:val="auto"/>
                <w:kern w:val="2"/>
                <w:sz w:val="24"/>
                <w:szCs w:val="24"/>
                <w:u w:val="none" w:color="auto"/>
                <w:vertAlign w:val="baseline"/>
                <w:lang w:val="en-US" w:eastAsia="zh-CN" w:bidi="ar-SA"/>
              </w:rPr>
            </w:pPr>
            <w:r>
              <w:rPr>
                <w:rFonts w:hint="eastAsia" w:ascii="Times New Roman" w:hAnsi="Times New Roman" w:eastAsia="仿宋_GB2312" w:cs="Times New Roman"/>
                <w:b w:val="0"/>
                <w:bCs w:val="0"/>
                <w:color w:val="auto"/>
                <w:kern w:val="2"/>
                <w:sz w:val="24"/>
                <w:szCs w:val="24"/>
                <w:u w:val="none" w:color="auto"/>
                <w:vertAlign w:val="baseline"/>
                <w:lang w:val="en-US" w:eastAsia="zh-CN" w:bidi="ar-SA"/>
              </w:rPr>
              <w:t>四川省进一步促进人工智能产业链发展若干政策</w:t>
            </w:r>
          </w:p>
        </w:tc>
        <w:tc>
          <w:tcPr>
            <w:tcW w:w="4390" w:type="dxa"/>
            <w:shd w:val="clear" w:color="auto" w:fill="auto"/>
            <w:vAlign w:val="center"/>
          </w:tcPr>
          <w:p w14:paraId="782CCA9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Times New Roman"/>
                <w:b w:val="0"/>
                <w:bCs w:val="0"/>
                <w:color w:val="auto"/>
                <w:kern w:val="2"/>
                <w:sz w:val="24"/>
                <w:szCs w:val="24"/>
                <w:u w:val="none" w:color="auto"/>
                <w:vertAlign w:val="baseline"/>
                <w:lang w:val="en-US" w:eastAsia="zh-CN" w:bidi="ar-SA"/>
              </w:rPr>
            </w:pPr>
            <w:r>
              <w:rPr>
                <w:rFonts w:hint="eastAsia" w:ascii="Times New Roman" w:hAnsi="Times New Roman" w:eastAsia="仿宋_GB2312" w:cs="Times New Roman"/>
                <w:b w:val="0"/>
                <w:bCs w:val="0"/>
                <w:color w:val="auto"/>
                <w:kern w:val="2"/>
                <w:sz w:val="24"/>
                <w:szCs w:val="24"/>
                <w:u w:val="none" w:color="auto"/>
                <w:vertAlign w:val="baseline"/>
                <w:lang w:val="en-US" w:eastAsia="zh-CN" w:bidi="ar-SA"/>
              </w:rPr>
              <w:t>适用于四川省人工智能领域的企业、事业单位和人才。</w:t>
            </w:r>
          </w:p>
        </w:tc>
        <w:tc>
          <w:tcPr>
            <w:tcW w:w="2527" w:type="dxa"/>
            <w:shd w:val="clear" w:color="auto" w:fill="auto"/>
            <w:vAlign w:val="center"/>
          </w:tcPr>
          <w:p w14:paraId="792CDA6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https://kjt.sc.gov.cn/kjt/gstz/2026/6/25/cda3dc2622024f9190f15d2f03ae494e.shtml</w:t>
            </w:r>
          </w:p>
        </w:tc>
        <w:tc>
          <w:tcPr>
            <w:tcW w:w="2734" w:type="dxa"/>
            <w:shd w:val="clear" w:color="auto" w:fill="auto"/>
            <w:vAlign w:val="center"/>
          </w:tcPr>
          <w:p w14:paraId="0642EA2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b w:val="0"/>
                <w:bCs w:val="0"/>
                <w:color w:val="auto"/>
                <w:sz w:val="24"/>
                <w:szCs w:val="24"/>
                <w:u w:val="none" w:color="auto"/>
                <w:vertAlign w:val="baseline"/>
                <w:lang w:val="en-US" w:eastAsia="zh-CN"/>
              </w:rPr>
            </w:pPr>
            <w:r>
              <w:rPr>
                <w:rFonts w:hint="eastAsia" w:ascii="Times New Roman" w:hAnsi="Times New Roman" w:eastAsia="仿宋_GB2312" w:cs="Times New Roman"/>
                <w:b w:val="0"/>
                <w:bCs w:val="0"/>
                <w:color w:val="auto"/>
                <w:sz w:val="24"/>
                <w:szCs w:val="24"/>
                <w:u w:val="none" w:color="auto"/>
                <w:vertAlign w:val="baseline"/>
                <w:lang w:val="en-US" w:eastAsia="zh-CN"/>
              </w:rPr>
              <w:t>人工智能处</w:t>
            </w:r>
          </w:p>
        </w:tc>
        <w:tc>
          <w:tcPr>
            <w:tcW w:w="1645" w:type="dxa"/>
            <w:shd w:val="clear" w:color="auto" w:fill="auto"/>
            <w:vAlign w:val="center"/>
          </w:tcPr>
          <w:p w14:paraId="04D8D95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eastAsia" w:ascii="Times New Roman" w:hAnsi="Times New Roman" w:eastAsia="仿宋_GB2312" w:cs="Times New Roman"/>
                <w:b w:val="0"/>
                <w:bCs w:val="0"/>
                <w:color w:val="auto"/>
                <w:sz w:val="24"/>
                <w:szCs w:val="24"/>
                <w:u w:val="none" w:color="auto"/>
                <w:vertAlign w:val="baseline"/>
                <w:lang w:val="en-US" w:eastAsia="zh-CN"/>
              </w:rPr>
              <w:t>028-86728646</w:t>
            </w:r>
          </w:p>
        </w:tc>
        <w:tc>
          <w:tcPr>
            <w:tcW w:w="1248" w:type="dxa"/>
            <w:shd w:val="clear" w:color="auto" w:fill="auto"/>
            <w:vAlign w:val="center"/>
          </w:tcPr>
          <w:p w14:paraId="346DA9B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p>
        </w:tc>
      </w:tr>
    </w:tbl>
    <w:p w14:paraId="03576309">
      <w:pPr>
        <w:pStyle w:val="2"/>
        <w:ind w:left="0" w:leftChars="0" w:firstLine="0" w:firstLineChars="0"/>
        <w:rPr>
          <w:rFonts w:hint="default"/>
          <w:lang w:val="en-US" w:eastAsia="zh-CN"/>
        </w:rPr>
      </w:pPr>
    </w:p>
    <w:sectPr>
      <w:footerReference r:id="rId4" w:type="first"/>
      <w:footerReference r:id="rId3" w:type="default"/>
      <w:pgSz w:w="16838" w:h="11906" w:orient="landscape"/>
      <w:pgMar w:top="1587" w:right="2098" w:bottom="1474" w:left="1814"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127A1">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5A96D">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C5A96D">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F153B">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2CDA9">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922CDA9">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5E0B7">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35E0B7">
                    <w:pPr>
                      <w:pStyle w:val="5"/>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357D8"/>
    <w:rsid w:val="03C73468"/>
    <w:rsid w:val="03EE798F"/>
    <w:rsid w:val="05171224"/>
    <w:rsid w:val="05581B0A"/>
    <w:rsid w:val="05FE60AA"/>
    <w:rsid w:val="06280974"/>
    <w:rsid w:val="071933F3"/>
    <w:rsid w:val="07325F1B"/>
    <w:rsid w:val="079C60CD"/>
    <w:rsid w:val="07D91D1C"/>
    <w:rsid w:val="0DF30354"/>
    <w:rsid w:val="0F675CC9"/>
    <w:rsid w:val="10BD29DC"/>
    <w:rsid w:val="10D637F8"/>
    <w:rsid w:val="112076B2"/>
    <w:rsid w:val="116A0E2E"/>
    <w:rsid w:val="11D278BD"/>
    <w:rsid w:val="122A22F6"/>
    <w:rsid w:val="12B24929"/>
    <w:rsid w:val="13245E32"/>
    <w:rsid w:val="133378EA"/>
    <w:rsid w:val="144F009D"/>
    <w:rsid w:val="147B2EA3"/>
    <w:rsid w:val="14CA2F02"/>
    <w:rsid w:val="155552C6"/>
    <w:rsid w:val="1584605C"/>
    <w:rsid w:val="175D2E94"/>
    <w:rsid w:val="18662C36"/>
    <w:rsid w:val="18F55071"/>
    <w:rsid w:val="191915B7"/>
    <w:rsid w:val="19CD414F"/>
    <w:rsid w:val="1ABF26FA"/>
    <w:rsid w:val="1C43143D"/>
    <w:rsid w:val="1CD74CC4"/>
    <w:rsid w:val="1E3817E4"/>
    <w:rsid w:val="1F6711C4"/>
    <w:rsid w:val="1F9C00AF"/>
    <w:rsid w:val="1FEA7809"/>
    <w:rsid w:val="20464723"/>
    <w:rsid w:val="20627F7C"/>
    <w:rsid w:val="21204E60"/>
    <w:rsid w:val="214075FA"/>
    <w:rsid w:val="222155D0"/>
    <w:rsid w:val="24125580"/>
    <w:rsid w:val="24B442C4"/>
    <w:rsid w:val="269229A8"/>
    <w:rsid w:val="2A845DB8"/>
    <w:rsid w:val="2AF27C7A"/>
    <w:rsid w:val="2C990EDD"/>
    <w:rsid w:val="2CC21730"/>
    <w:rsid w:val="2D7352E2"/>
    <w:rsid w:val="2DA952EF"/>
    <w:rsid w:val="2E7035CF"/>
    <w:rsid w:val="30504491"/>
    <w:rsid w:val="307951A4"/>
    <w:rsid w:val="30D60470"/>
    <w:rsid w:val="30F87D91"/>
    <w:rsid w:val="3171522B"/>
    <w:rsid w:val="32810EEB"/>
    <w:rsid w:val="32D83E39"/>
    <w:rsid w:val="33191EA2"/>
    <w:rsid w:val="33BA36D7"/>
    <w:rsid w:val="3442066A"/>
    <w:rsid w:val="34F5482E"/>
    <w:rsid w:val="35693168"/>
    <w:rsid w:val="35BA090B"/>
    <w:rsid w:val="3605275C"/>
    <w:rsid w:val="370A2556"/>
    <w:rsid w:val="3782488B"/>
    <w:rsid w:val="38404B25"/>
    <w:rsid w:val="38ED5668"/>
    <w:rsid w:val="39F86C46"/>
    <w:rsid w:val="3AD35612"/>
    <w:rsid w:val="3AED29EB"/>
    <w:rsid w:val="3B5129DA"/>
    <w:rsid w:val="3BA96372"/>
    <w:rsid w:val="3BC05668"/>
    <w:rsid w:val="3BDE2E66"/>
    <w:rsid w:val="3E5527E2"/>
    <w:rsid w:val="4033445D"/>
    <w:rsid w:val="418C271B"/>
    <w:rsid w:val="41A86D46"/>
    <w:rsid w:val="45B01C20"/>
    <w:rsid w:val="47A125F4"/>
    <w:rsid w:val="47C050B6"/>
    <w:rsid w:val="495B2653"/>
    <w:rsid w:val="4CD97BE7"/>
    <w:rsid w:val="4D007DBC"/>
    <w:rsid w:val="4D310A28"/>
    <w:rsid w:val="4D924C82"/>
    <w:rsid w:val="4EFB2A70"/>
    <w:rsid w:val="4F6A4186"/>
    <w:rsid w:val="4F812B0B"/>
    <w:rsid w:val="500D7F9D"/>
    <w:rsid w:val="504F6BD0"/>
    <w:rsid w:val="50A85BE5"/>
    <w:rsid w:val="50CE5BD8"/>
    <w:rsid w:val="51117283"/>
    <w:rsid w:val="54387E3C"/>
    <w:rsid w:val="544003C9"/>
    <w:rsid w:val="574A6804"/>
    <w:rsid w:val="57F4574A"/>
    <w:rsid w:val="58123F80"/>
    <w:rsid w:val="59121175"/>
    <w:rsid w:val="5A00764E"/>
    <w:rsid w:val="5AD61FA7"/>
    <w:rsid w:val="5AFA2547"/>
    <w:rsid w:val="5BD03F8A"/>
    <w:rsid w:val="5C1107FC"/>
    <w:rsid w:val="5CF11CA2"/>
    <w:rsid w:val="5D755293"/>
    <w:rsid w:val="5E495A74"/>
    <w:rsid w:val="5EFFBA4E"/>
    <w:rsid w:val="5F677827"/>
    <w:rsid w:val="5F6D6C9C"/>
    <w:rsid w:val="60D813BB"/>
    <w:rsid w:val="611C2A0D"/>
    <w:rsid w:val="616C6ED5"/>
    <w:rsid w:val="61F86E79"/>
    <w:rsid w:val="6424218B"/>
    <w:rsid w:val="65D24D07"/>
    <w:rsid w:val="66777934"/>
    <w:rsid w:val="67281F92"/>
    <w:rsid w:val="67E00D5C"/>
    <w:rsid w:val="67E83794"/>
    <w:rsid w:val="68201BAA"/>
    <w:rsid w:val="68541AF0"/>
    <w:rsid w:val="687874D2"/>
    <w:rsid w:val="69F908EC"/>
    <w:rsid w:val="6A5B4CD4"/>
    <w:rsid w:val="6B3E29C2"/>
    <w:rsid w:val="6BA954BC"/>
    <w:rsid w:val="6BB562B8"/>
    <w:rsid w:val="6D2B1638"/>
    <w:rsid w:val="6D877A12"/>
    <w:rsid w:val="6F644259"/>
    <w:rsid w:val="6FC83F0E"/>
    <w:rsid w:val="7000249B"/>
    <w:rsid w:val="703930B6"/>
    <w:rsid w:val="703E2A87"/>
    <w:rsid w:val="706563F1"/>
    <w:rsid w:val="70AE09B2"/>
    <w:rsid w:val="70FE7ECA"/>
    <w:rsid w:val="71016E03"/>
    <w:rsid w:val="71CD20C2"/>
    <w:rsid w:val="72496780"/>
    <w:rsid w:val="7345646D"/>
    <w:rsid w:val="760D01D7"/>
    <w:rsid w:val="76CD771C"/>
    <w:rsid w:val="76DA32A9"/>
    <w:rsid w:val="77747365"/>
    <w:rsid w:val="77F5992F"/>
    <w:rsid w:val="79BF044C"/>
    <w:rsid w:val="7A18327B"/>
    <w:rsid w:val="7AE1796D"/>
    <w:rsid w:val="7B2604C3"/>
    <w:rsid w:val="7C921F30"/>
    <w:rsid w:val="7CE90EEC"/>
    <w:rsid w:val="7D4A468D"/>
    <w:rsid w:val="7E2B6198"/>
    <w:rsid w:val="7F343772"/>
    <w:rsid w:val="7F733E4C"/>
    <w:rsid w:val="7FBA778B"/>
    <w:rsid w:val="7FF4E424"/>
    <w:rsid w:val="BDEF5466"/>
    <w:rsid w:val="EDBFB576"/>
    <w:rsid w:val="EDEB727B"/>
    <w:rsid w:val="FBBDF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widowControl w:val="0"/>
      <w:suppressAutoHyphens/>
      <w:bidi w:val="0"/>
      <w:ind w:firstLine="420" w:firstLineChars="200"/>
      <w:jc w:val="both"/>
    </w:pPr>
    <w:rPr>
      <w:rFonts w:ascii="Calibri" w:hAnsi="Calibri" w:eastAsia="宋体" w:cs="Times New Roman"/>
      <w:color w:val="auto"/>
      <w:kern w:val="2"/>
      <w:sz w:val="21"/>
      <w:szCs w:val="22"/>
      <w:lang w:val="en-US" w:eastAsia="zh-CN" w:bidi="ar-SA"/>
    </w:rPr>
  </w:style>
  <w:style w:type="paragraph" w:styleId="3">
    <w:name w:val="Body Text"/>
    <w:basedOn w:val="1"/>
    <w:next w:val="4"/>
    <w:qFormat/>
    <w:uiPriority w:val="0"/>
    <w:pPr>
      <w:spacing w:after="120"/>
    </w:pPr>
    <w:rPr>
      <w:kern w:val="0"/>
      <w:sz w:val="20"/>
    </w:rPr>
  </w:style>
  <w:style w:type="paragraph" w:customStyle="1" w:styleId="4">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3"/>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6753</Words>
  <Characters>12239</Characters>
  <Lines>0</Lines>
  <Paragraphs>0</Paragraphs>
  <TotalTime>7</TotalTime>
  <ScaleCrop>false</ScaleCrop>
  <LinksUpToDate>false</LinksUpToDate>
  <CharactersWithSpaces>12252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2025-01-01T01:35:00Z</dcterms:created>
  <dc:creator>Administrator</dc:creator>
  <cp:lastModifiedBy>柏林</cp:lastModifiedBy>
  <cp:lastPrinted>2026-06-30T17:17:00Z</cp:lastPrinted>
  <dcterms:modified xsi:type="dcterms:W3CDTF">2026-07-01T09:02:27Z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eyJoZGlkIjoiOTcyMjhhZTc1NjE0MmE0NDg4ZDk5NWViNDk1MWUzOGYiLCJ1c2VySWQiOiIyMTA2NjQxMjUifQ==</vt:lpwstr>
  </property>
  <property fmtid="{D5CDD505-2E9C-101B-9397-08002B2CF9AE}" pid="4" name="ICV">
    <vt:lpwstr>B41D45DB2DB94A1086AC5F46A228746F_13</vt:lpwstr>
  </property>
</Properties>
</file>